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49FF" w14:textId="3EEC5614" w:rsidR="000F038B" w:rsidRPr="000F038B" w:rsidRDefault="000F038B" w:rsidP="000F038B">
      <w:pPr>
        <w:jc w:val="center"/>
        <w:rPr>
          <w:b/>
          <w:bCs/>
          <w:sz w:val="44"/>
          <w:szCs w:val="44"/>
        </w:rPr>
      </w:pPr>
      <w:r w:rsidRPr="000F038B">
        <w:rPr>
          <w:b/>
          <w:bCs/>
          <w:sz w:val="44"/>
          <w:szCs w:val="44"/>
        </w:rPr>
        <w:t>Technical Meeting on Modernization of</w:t>
      </w:r>
    </w:p>
    <w:p w14:paraId="125888E4" w14:textId="0BAF0CFE" w:rsidR="000F038B" w:rsidRPr="000F038B" w:rsidRDefault="000F038B" w:rsidP="000F038B">
      <w:pPr>
        <w:jc w:val="center"/>
        <w:rPr>
          <w:b/>
          <w:bCs/>
          <w:sz w:val="44"/>
          <w:szCs w:val="44"/>
        </w:rPr>
      </w:pPr>
      <w:r w:rsidRPr="000F038B">
        <w:rPr>
          <w:b/>
          <w:bCs/>
          <w:sz w:val="44"/>
          <w:szCs w:val="44"/>
        </w:rPr>
        <w:t>Instrumentation and Control of Nuclear Power</w:t>
      </w:r>
    </w:p>
    <w:p w14:paraId="698850B7" w14:textId="559229F0" w:rsidR="000F038B" w:rsidRPr="000F038B" w:rsidRDefault="000F038B" w:rsidP="000F038B">
      <w:pPr>
        <w:jc w:val="center"/>
        <w:rPr>
          <w:b/>
          <w:bCs/>
          <w:sz w:val="44"/>
          <w:szCs w:val="44"/>
        </w:rPr>
      </w:pPr>
      <w:r w:rsidRPr="000F038B">
        <w:rPr>
          <w:b/>
          <w:bCs/>
          <w:sz w:val="44"/>
          <w:szCs w:val="44"/>
        </w:rPr>
        <w:t>Plants Designed According to Earlier Standards:</w:t>
      </w:r>
    </w:p>
    <w:p w14:paraId="2D8D7E08" w14:textId="635FC8D5" w:rsidR="000F038B" w:rsidRDefault="000F038B" w:rsidP="000F038B">
      <w:pPr>
        <w:jc w:val="center"/>
        <w:rPr>
          <w:b/>
          <w:bCs/>
          <w:sz w:val="44"/>
          <w:szCs w:val="44"/>
        </w:rPr>
      </w:pPr>
      <w:r w:rsidRPr="000F038B">
        <w:rPr>
          <w:b/>
          <w:bCs/>
          <w:sz w:val="44"/>
          <w:szCs w:val="44"/>
        </w:rPr>
        <w:t>Safety Considerations</w:t>
      </w:r>
    </w:p>
    <w:p w14:paraId="6CA87BC0" w14:textId="77777777" w:rsidR="000F038B" w:rsidRPr="000F038B" w:rsidRDefault="000F038B" w:rsidP="000F038B">
      <w:pPr>
        <w:jc w:val="center"/>
        <w:rPr>
          <w:b/>
          <w:bCs/>
          <w:sz w:val="44"/>
          <w:szCs w:val="44"/>
        </w:rPr>
      </w:pPr>
    </w:p>
    <w:p w14:paraId="2828D4EC" w14:textId="77777777" w:rsidR="000F038B" w:rsidRPr="000F038B" w:rsidRDefault="000F038B" w:rsidP="000F038B">
      <w:pPr>
        <w:jc w:val="center"/>
        <w:rPr>
          <w:b/>
          <w:bCs/>
          <w:sz w:val="32"/>
          <w:szCs w:val="32"/>
        </w:rPr>
      </w:pPr>
      <w:r w:rsidRPr="000F038B">
        <w:rPr>
          <w:b/>
          <w:bCs/>
          <w:sz w:val="32"/>
          <w:szCs w:val="32"/>
        </w:rPr>
        <w:t>IAEA Headquarters, Vienna, Austria</w:t>
      </w:r>
    </w:p>
    <w:p w14:paraId="417D174F" w14:textId="77777777" w:rsidR="000F038B" w:rsidRPr="000F038B" w:rsidRDefault="000F038B" w:rsidP="000F038B">
      <w:pPr>
        <w:jc w:val="center"/>
        <w:rPr>
          <w:sz w:val="32"/>
          <w:szCs w:val="32"/>
        </w:rPr>
      </w:pPr>
      <w:r w:rsidRPr="000F038B">
        <w:rPr>
          <w:sz w:val="32"/>
          <w:szCs w:val="32"/>
        </w:rPr>
        <w:t>and virtual participation via Cisco Webex</w:t>
      </w:r>
    </w:p>
    <w:p w14:paraId="76F406AA" w14:textId="77777777" w:rsidR="000F038B" w:rsidRPr="000F038B" w:rsidRDefault="000F038B" w:rsidP="000F038B">
      <w:pPr>
        <w:jc w:val="center"/>
        <w:rPr>
          <w:sz w:val="32"/>
          <w:szCs w:val="32"/>
        </w:rPr>
      </w:pPr>
      <w:r w:rsidRPr="000F038B">
        <w:rPr>
          <w:sz w:val="32"/>
          <w:szCs w:val="32"/>
        </w:rPr>
        <w:t>27–31 March 2023</w:t>
      </w:r>
    </w:p>
    <w:p w14:paraId="0AB0A737" w14:textId="18636C8F" w:rsidR="000F038B" w:rsidRDefault="000F038B" w:rsidP="000F038B">
      <w:pPr>
        <w:jc w:val="center"/>
        <w:rPr>
          <w:sz w:val="32"/>
          <w:szCs w:val="32"/>
        </w:rPr>
      </w:pPr>
      <w:r w:rsidRPr="000F038B">
        <w:rPr>
          <w:sz w:val="32"/>
          <w:szCs w:val="32"/>
        </w:rPr>
        <w:t>Ref. No.: EVT2103182</w:t>
      </w:r>
    </w:p>
    <w:p w14:paraId="2D4D87FE" w14:textId="77777777" w:rsidR="000F038B" w:rsidRPr="000F038B" w:rsidRDefault="000F038B" w:rsidP="000F038B">
      <w:pPr>
        <w:jc w:val="center"/>
        <w:rPr>
          <w:sz w:val="32"/>
          <w:szCs w:val="32"/>
        </w:rPr>
      </w:pPr>
    </w:p>
    <w:p w14:paraId="790A08A4" w14:textId="59A27068" w:rsidR="00D2731F" w:rsidRDefault="000F038B" w:rsidP="000F038B">
      <w:pPr>
        <w:jc w:val="center"/>
        <w:rPr>
          <w:b/>
          <w:bCs/>
          <w:sz w:val="36"/>
          <w:szCs w:val="36"/>
        </w:rPr>
      </w:pPr>
      <w:r w:rsidRPr="000F038B">
        <w:rPr>
          <w:b/>
          <w:bCs/>
          <w:sz w:val="36"/>
          <w:szCs w:val="36"/>
        </w:rPr>
        <w:t>Supplementary Information Sheet</w:t>
      </w:r>
    </w:p>
    <w:p w14:paraId="4A93041F" w14:textId="5B8427EE" w:rsidR="000F038B" w:rsidRDefault="000F038B" w:rsidP="000F038B"/>
    <w:p w14:paraId="77FCB990" w14:textId="77777777" w:rsidR="00105F6D" w:rsidRDefault="00105F6D" w:rsidP="000F038B"/>
    <w:p w14:paraId="11BF57C1" w14:textId="361DFE1E" w:rsidR="000F038B" w:rsidRPr="000F038B" w:rsidRDefault="000F038B" w:rsidP="000F038B">
      <w:pPr>
        <w:rPr>
          <w:b/>
          <w:bCs/>
          <w:sz w:val="28"/>
          <w:szCs w:val="28"/>
        </w:rPr>
      </w:pPr>
      <w:r w:rsidRPr="000F038B">
        <w:rPr>
          <w:b/>
          <w:bCs/>
          <w:sz w:val="28"/>
          <w:szCs w:val="28"/>
        </w:rPr>
        <w:t>Introduction</w:t>
      </w:r>
    </w:p>
    <w:p w14:paraId="1BCD084B" w14:textId="6F8E9C85" w:rsidR="000F038B" w:rsidRDefault="000F038B" w:rsidP="000F038B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63F86">
        <w:rPr>
          <w:sz w:val="24"/>
          <w:szCs w:val="24"/>
        </w:rPr>
        <w:t xml:space="preserve">arrangements for the </w:t>
      </w:r>
      <w:r w:rsidRPr="000179BD">
        <w:rPr>
          <w:i/>
          <w:iCs/>
          <w:sz w:val="24"/>
          <w:szCs w:val="24"/>
        </w:rPr>
        <w:t>Technical Meeting on Modernization of Instrumentation and Control of Nuclear Power Plants Designed According to Earlier Standards: Safety Considerations</w:t>
      </w:r>
      <w:r w:rsidR="00063F86" w:rsidRPr="000179BD">
        <w:rPr>
          <w:i/>
          <w:iCs/>
          <w:sz w:val="24"/>
          <w:szCs w:val="24"/>
        </w:rPr>
        <w:t xml:space="preserve"> </w:t>
      </w:r>
      <w:r w:rsidR="00063F86">
        <w:rPr>
          <w:sz w:val="24"/>
          <w:szCs w:val="24"/>
        </w:rPr>
        <w:t>are described in the event information sheet (</w:t>
      </w:r>
      <w:hyperlink r:id="rId7" w:history="1">
        <w:r w:rsidR="00063F86" w:rsidRPr="00143015">
          <w:rPr>
            <w:rStyle w:val="Hyperlink"/>
            <w:sz w:val="24"/>
            <w:szCs w:val="24"/>
          </w:rPr>
          <w:t>https://www.iaea.org/sites/default/files/22/11/evt2103182_information_sheet.pdf</w:t>
        </w:r>
      </w:hyperlink>
      <w:r w:rsidR="00063F86">
        <w:rPr>
          <w:sz w:val="24"/>
          <w:szCs w:val="24"/>
        </w:rPr>
        <w:t>)</w:t>
      </w:r>
      <w:r w:rsidR="00F61B40">
        <w:rPr>
          <w:sz w:val="24"/>
          <w:szCs w:val="24"/>
        </w:rPr>
        <w:t>. This supplementary information sheet provides further detail regarding the content and format of the event.</w:t>
      </w:r>
      <w:r w:rsidR="003762A2">
        <w:rPr>
          <w:sz w:val="24"/>
          <w:szCs w:val="24"/>
        </w:rPr>
        <w:t xml:space="preserve"> </w:t>
      </w:r>
    </w:p>
    <w:p w14:paraId="4D1784A4" w14:textId="1A4857D4" w:rsidR="008F77E9" w:rsidRDefault="008F77E9" w:rsidP="000F038B">
      <w:pPr>
        <w:rPr>
          <w:sz w:val="24"/>
          <w:szCs w:val="24"/>
        </w:rPr>
      </w:pPr>
    </w:p>
    <w:p w14:paraId="645E2818" w14:textId="319C084D" w:rsidR="008F77E9" w:rsidRPr="008F77E9" w:rsidRDefault="008F77E9" w:rsidP="000F038B">
      <w:pPr>
        <w:rPr>
          <w:b/>
          <w:bCs/>
          <w:sz w:val="28"/>
          <w:szCs w:val="28"/>
        </w:rPr>
      </w:pPr>
      <w:r w:rsidRPr="008F77E9">
        <w:rPr>
          <w:b/>
          <w:bCs/>
          <w:sz w:val="28"/>
          <w:szCs w:val="28"/>
        </w:rPr>
        <w:t>Content</w:t>
      </w:r>
    </w:p>
    <w:p w14:paraId="36F7FF42" w14:textId="624847F1" w:rsidR="008F77E9" w:rsidRDefault="0047115A" w:rsidP="000F038B">
      <w:pPr>
        <w:rPr>
          <w:sz w:val="24"/>
          <w:szCs w:val="24"/>
        </w:rPr>
      </w:pPr>
      <w:r>
        <w:rPr>
          <w:sz w:val="24"/>
          <w:szCs w:val="24"/>
        </w:rPr>
        <w:t xml:space="preserve">The objective of the </w:t>
      </w:r>
      <w:r w:rsidR="00A5180F" w:rsidRPr="00C92AE4">
        <w:rPr>
          <w:sz w:val="24"/>
          <w:szCs w:val="24"/>
        </w:rPr>
        <w:t xml:space="preserve">technical meeting </w:t>
      </w:r>
      <w:r w:rsidR="000179BD" w:rsidRPr="00C92AE4">
        <w:rPr>
          <w:sz w:val="24"/>
          <w:szCs w:val="24"/>
        </w:rPr>
        <w:t>is to</w:t>
      </w:r>
      <w:r w:rsidR="000179BD">
        <w:rPr>
          <w:sz w:val="24"/>
          <w:szCs w:val="24"/>
        </w:rPr>
        <w:t xml:space="preserve"> </w:t>
      </w:r>
      <w:r w:rsidR="000E6711">
        <w:rPr>
          <w:sz w:val="24"/>
          <w:szCs w:val="24"/>
        </w:rPr>
        <w:t xml:space="preserve">allow member states to </w:t>
      </w:r>
      <w:r w:rsidR="0023664B">
        <w:rPr>
          <w:sz w:val="24"/>
          <w:szCs w:val="24"/>
        </w:rPr>
        <w:t xml:space="preserve">exchange information </w:t>
      </w:r>
      <w:r w:rsidR="00C92AE4">
        <w:rPr>
          <w:sz w:val="24"/>
          <w:szCs w:val="24"/>
        </w:rPr>
        <w:t xml:space="preserve">regarding </w:t>
      </w:r>
      <w:r w:rsidR="00F758E2">
        <w:rPr>
          <w:sz w:val="24"/>
          <w:szCs w:val="24"/>
        </w:rPr>
        <w:t>their experience in the modernisation of instrumentation and control systems</w:t>
      </w:r>
      <w:r w:rsidR="00862920">
        <w:rPr>
          <w:sz w:val="24"/>
          <w:szCs w:val="24"/>
        </w:rPr>
        <w:t xml:space="preserve"> at nuclear power plants and other </w:t>
      </w:r>
      <w:r w:rsidR="00A667EA">
        <w:rPr>
          <w:sz w:val="24"/>
          <w:szCs w:val="24"/>
        </w:rPr>
        <w:t xml:space="preserve">civil nuclear </w:t>
      </w:r>
      <w:r w:rsidR="00862920">
        <w:rPr>
          <w:sz w:val="24"/>
          <w:szCs w:val="24"/>
        </w:rPr>
        <w:t>facilities.</w:t>
      </w:r>
      <w:r w:rsidR="00044BA6">
        <w:rPr>
          <w:sz w:val="24"/>
          <w:szCs w:val="24"/>
        </w:rPr>
        <w:t xml:space="preserve"> </w:t>
      </w:r>
    </w:p>
    <w:p w14:paraId="7DBE7097" w14:textId="13FE8018" w:rsidR="00071FC5" w:rsidRDefault="006C2D1F" w:rsidP="000F038B">
      <w:pPr>
        <w:rPr>
          <w:sz w:val="24"/>
          <w:szCs w:val="24"/>
        </w:rPr>
      </w:pPr>
      <w:r>
        <w:rPr>
          <w:sz w:val="24"/>
          <w:szCs w:val="24"/>
        </w:rPr>
        <w:t xml:space="preserve">The sharing of experience on this topic will </w:t>
      </w:r>
      <w:r w:rsidR="00E51024">
        <w:rPr>
          <w:sz w:val="24"/>
          <w:szCs w:val="24"/>
        </w:rPr>
        <w:t xml:space="preserve">facilitate the development of a new IAEA publication (TECDOC) that may be used by member states </w:t>
      </w:r>
      <w:r w:rsidR="00A8640C">
        <w:rPr>
          <w:sz w:val="24"/>
          <w:szCs w:val="24"/>
        </w:rPr>
        <w:t>to inform their own modernisation activities and to learn lessons from previous projects.</w:t>
      </w:r>
    </w:p>
    <w:p w14:paraId="2584E2D3" w14:textId="2DFE873C" w:rsidR="00582E5E" w:rsidRDefault="00152E1C" w:rsidP="000F038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focus of the meeting will be the safety considerations associated with </w:t>
      </w:r>
      <w:r w:rsidR="0092074E">
        <w:rPr>
          <w:sz w:val="24"/>
          <w:szCs w:val="24"/>
        </w:rPr>
        <w:t xml:space="preserve">I&amp;C </w:t>
      </w:r>
      <w:r>
        <w:rPr>
          <w:sz w:val="24"/>
          <w:szCs w:val="24"/>
        </w:rPr>
        <w:t>modernisation project</w:t>
      </w:r>
      <w:r w:rsidR="007E2A06">
        <w:rPr>
          <w:sz w:val="24"/>
          <w:szCs w:val="24"/>
        </w:rPr>
        <w:t>s</w:t>
      </w:r>
      <w:r w:rsidR="00415D32">
        <w:rPr>
          <w:sz w:val="24"/>
          <w:szCs w:val="24"/>
        </w:rPr>
        <w:t xml:space="preserve"> where </w:t>
      </w:r>
      <w:r w:rsidR="00BD792A">
        <w:rPr>
          <w:sz w:val="24"/>
          <w:szCs w:val="24"/>
        </w:rPr>
        <w:t xml:space="preserve">standards and expectations </w:t>
      </w:r>
      <w:r w:rsidR="006F29BA">
        <w:rPr>
          <w:sz w:val="24"/>
          <w:szCs w:val="24"/>
        </w:rPr>
        <w:t xml:space="preserve">for acceptance </w:t>
      </w:r>
      <w:r w:rsidR="00BD792A">
        <w:rPr>
          <w:sz w:val="24"/>
          <w:szCs w:val="24"/>
        </w:rPr>
        <w:t xml:space="preserve">have changed since the original plant design. </w:t>
      </w:r>
      <w:r w:rsidR="00B35A97">
        <w:rPr>
          <w:sz w:val="24"/>
          <w:szCs w:val="24"/>
        </w:rPr>
        <w:t>These projects may range from major control and protection system</w:t>
      </w:r>
      <w:r w:rsidR="006E727B">
        <w:rPr>
          <w:sz w:val="24"/>
          <w:szCs w:val="24"/>
        </w:rPr>
        <w:t xml:space="preserve"> upgrades and </w:t>
      </w:r>
      <w:r w:rsidR="006E2E9E">
        <w:rPr>
          <w:sz w:val="24"/>
          <w:szCs w:val="24"/>
        </w:rPr>
        <w:t xml:space="preserve">replacements to </w:t>
      </w:r>
      <w:r w:rsidR="000E5AD6">
        <w:rPr>
          <w:sz w:val="24"/>
          <w:szCs w:val="24"/>
        </w:rPr>
        <w:t xml:space="preserve">the use of new </w:t>
      </w:r>
      <w:r w:rsidR="006E2E9E">
        <w:rPr>
          <w:sz w:val="24"/>
          <w:szCs w:val="24"/>
        </w:rPr>
        <w:t>smart device</w:t>
      </w:r>
      <w:r w:rsidR="000E5AD6">
        <w:rPr>
          <w:sz w:val="24"/>
          <w:szCs w:val="24"/>
        </w:rPr>
        <w:t>s.</w:t>
      </w:r>
      <w:r w:rsidR="00826D28">
        <w:rPr>
          <w:sz w:val="24"/>
          <w:szCs w:val="24"/>
        </w:rPr>
        <w:t xml:space="preserve"> </w:t>
      </w:r>
      <w:r w:rsidR="004F6CD1">
        <w:rPr>
          <w:sz w:val="24"/>
          <w:szCs w:val="24"/>
        </w:rPr>
        <w:t xml:space="preserve">Consequently, in addition to those </w:t>
      </w:r>
      <w:r w:rsidR="006A6D43">
        <w:rPr>
          <w:sz w:val="24"/>
          <w:szCs w:val="24"/>
        </w:rPr>
        <w:t>topics</w:t>
      </w:r>
      <w:r w:rsidR="004F6CD1">
        <w:rPr>
          <w:sz w:val="24"/>
          <w:szCs w:val="24"/>
        </w:rPr>
        <w:t xml:space="preserve"> identified on the event information sheet, the </w:t>
      </w:r>
      <w:r w:rsidR="00D65EC0">
        <w:rPr>
          <w:sz w:val="24"/>
          <w:szCs w:val="24"/>
        </w:rPr>
        <w:t xml:space="preserve">safety aspects of the </w:t>
      </w:r>
      <w:r w:rsidR="004F6CD1">
        <w:rPr>
          <w:sz w:val="24"/>
          <w:szCs w:val="24"/>
        </w:rPr>
        <w:t xml:space="preserve">following </w:t>
      </w:r>
      <w:r w:rsidR="00CC0001">
        <w:rPr>
          <w:sz w:val="24"/>
          <w:szCs w:val="24"/>
        </w:rPr>
        <w:t xml:space="preserve">modernisation </w:t>
      </w:r>
      <w:r w:rsidR="00E036B8">
        <w:rPr>
          <w:sz w:val="24"/>
          <w:szCs w:val="24"/>
        </w:rPr>
        <w:t>themes</w:t>
      </w:r>
      <w:r w:rsidR="004F6CD1">
        <w:rPr>
          <w:sz w:val="24"/>
          <w:szCs w:val="24"/>
        </w:rPr>
        <w:t xml:space="preserve"> </w:t>
      </w:r>
      <w:r w:rsidR="009126D5">
        <w:rPr>
          <w:sz w:val="24"/>
          <w:szCs w:val="24"/>
        </w:rPr>
        <w:t>will</w:t>
      </w:r>
      <w:r w:rsidR="004F6CD1">
        <w:rPr>
          <w:sz w:val="24"/>
          <w:szCs w:val="24"/>
        </w:rPr>
        <w:t xml:space="preserve"> be considered:</w:t>
      </w:r>
    </w:p>
    <w:p w14:paraId="78163BA8" w14:textId="396B95F7" w:rsidR="004F6CD1" w:rsidRDefault="00D65EC0" w:rsidP="00D65E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Requirements </w:t>
      </w:r>
      <w:r w:rsidR="00DC4A79">
        <w:rPr>
          <w:sz w:val="24"/>
          <w:szCs w:val="24"/>
        </w:rPr>
        <w:t xml:space="preserve">engineering and </w:t>
      </w:r>
      <w:r w:rsidR="00B00C30">
        <w:rPr>
          <w:sz w:val="24"/>
          <w:szCs w:val="24"/>
        </w:rPr>
        <w:t>management</w:t>
      </w:r>
    </w:p>
    <w:p w14:paraId="6C128B36" w14:textId="13F5CCB8" w:rsidR="00D65EC0" w:rsidRDefault="005657AB" w:rsidP="00D65E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I&amp;C s</w:t>
      </w:r>
      <w:r w:rsidR="00B00C30">
        <w:rPr>
          <w:sz w:val="24"/>
          <w:szCs w:val="24"/>
        </w:rPr>
        <w:t xml:space="preserve">afety function categorisation and </w:t>
      </w:r>
      <w:r>
        <w:rPr>
          <w:sz w:val="24"/>
          <w:szCs w:val="24"/>
        </w:rPr>
        <w:t xml:space="preserve">I&amp;C SSC </w:t>
      </w:r>
      <w:r w:rsidR="00B00C30">
        <w:rPr>
          <w:sz w:val="24"/>
          <w:szCs w:val="24"/>
        </w:rPr>
        <w:t>classification</w:t>
      </w:r>
    </w:p>
    <w:p w14:paraId="2C4BB3F4" w14:textId="58342D8D" w:rsidR="00680D09" w:rsidRDefault="00CC0001" w:rsidP="00D65EC0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Overall</w:t>
      </w:r>
      <w:proofErr w:type="gramEnd"/>
      <w:r>
        <w:rPr>
          <w:sz w:val="24"/>
          <w:szCs w:val="24"/>
        </w:rPr>
        <w:t xml:space="preserve"> I&amp;C architecture</w:t>
      </w:r>
      <w:r w:rsidR="00237AF4">
        <w:rPr>
          <w:sz w:val="24"/>
          <w:szCs w:val="24"/>
        </w:rPr>
        <w:t xml:space="preserve"> (incl.)</w:t>
      </w:r>
    </w:p>
    <w:p w14:paraId="13B582C7" w14:textId="77777777" w:rsidR="006A1D18" w:rsidRDefault="006A1D18" w:rsidP="006A1D1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Independence</w:t>
      </w:r>
    </w:p>
    <w:p w14:paraId="6B42B3FD" w14:textId="552A4A40" w:rsidR="00CC0001" w:rsidRDefault="00CC0001" w:rsidP="00CC000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Defence in depth</w:t>
      </w:r>
      <w:r w:rsidR="009817F0">
        <w:rPr>
          <w:sz w:val="24"/>
          <w:szCs w:val="24"/>
        </w:rPr>
        <w:t xml:space="preserve"> and </w:t>
      </w:r>
      <w:r w:rsidR="009668BC">
        <w:rPr>
          <w:sz w:val="24"/>
          <w:szCs w:val="24"/>
        </w:rPr>
        <w:t>d</w:t>
      </w:r>
      <w:r w:rsidR="009817F0">
        <w:rPr>
          <w:sz w:val="24"/>
          <w:szCs w:val="24"/>
        </w:rPr>
        <w:t>iversity</w:t>
      </w:r>
    </w:p>
    <w:p w14:paraId="60BCDC79" w14:textId="649290DD" w:rsidR="009817F0" w:rsidRDefault="009817F0" w:rsidP="00CC000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Redundancy</w:t>
      </w:r>
    </w:p>
    <w:p w14:paraId="65CC6B0A" w14:textId="4A216A0B" w:rsidR="005472F0" w:rsidRDefault="00372A7B" w:rsidP="00CC000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  <w:lang w:eastAsia="ko-KR"/>
        </w:rPr>
        <w:t>D</w:t>
      </w:r>
      <w:r>
        <w:rPr>
          <w:sz w:val="24"/>
          <w:szCs w:val="24"/>
          <w:lang w:eastAsia="ko-KR"/>
        </w:rPr>
        <w:t xml:space="preserve">eterministic </w:t>
      </w:r>
      <w:r w:rsidR="00423258" w:rsidRPr="00423258">
        <w:rPr>
          <w:sz w:val="24"/>
          <w:szCs w:val="24"/>
          <w:lang w:eastAsia="ko-KR"/>
        </w:rPr>
        <w:t>behaviour</w:t>
      </w:r>
    </w:p>
    <w:p w14:paraId="5865856F" w14:textId="1C8E787F" w:rsidR="00CC0001" w:rsidRDefault="000424EC" w:rsidP="00D65E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System level design and development</w:t>
      </w:r>
      <w:r w:rsidR="00237AF4">
        <w:rPr>
          <w:sz w:val="24"/>
          <w:szCs w:val="24"/>
        </w:rPr>
        <w:t xml:space="preserve"> (incl.)</w:t>
      </w:r>
    </w:p>
    <w:p w14:paraId="78C0493B" w14:textId="23C43A38" w:rsidR="00040906" w:rsidRDefault="00040906" w:rsidP="000409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Platform</w:t>
      </w:r>
    </w:p>
    <w:p w14:paraId="39FA4C4A" w14:textId="6B5A0A9B" w:rsidR="00040906" w:rsidRDefault="00040906" w:rsidP="000409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Application</w:t>
      </w:r>
    </w:p>
    <w:p w14:paraId="7855D038" w14:textId="1F3D9946" w:rsidR="00040906" w:rsidRDefault="00040906" w:rsidP="0004090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Tools</w:t>
      </w:r>
    </w:p>
    <w:p w14:paraId="68726B86" w14:textId="70B9E10F" w:rsidR="00C875DC" w:rsidRDefault="00237AF4" w:rsidP="00D65E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Installation</w:t>
      </w:r>
      <w:r w:rsidR="0027016C">
        <w:rPr>
          <w:sz w:val="24"/>
          <w:szCs w:val="24"/>
        </w:rPr>
        <w:t xml:space="preserve">, testing, </w:t>
      </w:r>
      <w:proofErr w:type="gramStart"/>
      <w:r w:rsidR="0027016C">
        <w:rPr>
          <w:sz w:val="24"/>
          <w:szCs w:val="24"/>
        </w:rPr>
        <w:t>commissioning</w:t>
      </w:r>
      <w:proofErr w:type="gramEnd"/>
      <w:r w:rsidR="0027016C">
        <w:rPr>
          <w:sz w:val="24"/>
          <w:szCs w:val="24"/>
        </w:rPr>
        <w:t xml:space="preserve"> and transition to operations</w:t>
      </w:r>
    </w:p>
    <w:p w14:paraId="25FBEE31" w14:textId="167AB9BA" w:rsidR="0027016C" w:rsidRDefault="00FB5241" w:rsidP="00D65E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Equipment </w:t>
      </w:r>
      <w:r w:rsidR="008F3B45">
        <w:rPr>
          <w:sz w:val="24"/>
          <w:szCs w:val="24"/>
        </w:rPr>
        <w:t>environmental qualification</w:t>
      </w:r>
    </w:p>
    <w:p w14:paraId="7D33C4F8" w14:textId="583A1F06" w:rsidR="00415D32" w:rsidRDefault="00415D32" w:rsidP="00D65E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Cyber and physical security</w:t>
      </w:r>
    </w:p>
    <w:p w14:paraId="48C51321" w14:textId="2E787136" w:rsidR="006F29BA" w:rsidRDefault="00175B19" w:rsidP="00D65E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Human </w:t>
      </w:r>
      <w:r w:rsidR="00E00FCC">
        <w:rPr>
          <w:sz w:val="24"/>
          <w:szCs w:val="24"/>
        </w:rPr>
        <w:t>factors engineering</w:t>
      </w:r>
    </w:p>
    <w:p w14:paraId="5D9BF683" w14:textId="36700187" w:rsidR="00C03427" w:rsidRDefault="00A02943" w:rsidP="00D65E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Provision and use of simulators for staff training</w:t>
      </w:r>
    </w:p>
    <w:p w14:paraId="45258FE3" w14:textId="328C2AA8" w:rsidR="00E00FCC" w:rsidRDefault="00965097" w:rsidP="00D65E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Management, </w:t>
      </w:r>
      <w:proofErr w:type="gramStart"/>
      <w:r>
        <w:rPr>
          <w:sz w:val="24"/>
          <w:szCs w:val="24"/>
        </w:rPr>
        <w:t>oversight</w:t>
      </w:r>
      <w:proofErr w:type="gramEnd"/>
      <w:r>
        <w:rPr>
          <w:sz w:val="24"/>
          <w:szCs w:val="24"/>
        </w:rPr>
        <w:t xml:space="preserve"> and governance</w:t>
      </w:r>
    </w:p>
    <w:p w14:paraId="2A3945F4" w14:textId="193FE4E3" w:rsidR="00415D32" w:rsidRDefault="00965097" w:rsidP="00D65E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5097">
        <w:rPr>
          <w:sz w:val="24"/>
          <w:szCs w:val="24"/>
        </w:rPr>
        <w:t xml:space="preserve">Safety </w:t>
      </w:r>
      <w:r>
        <w:rPr>
          <w:sz w:val="24"/>
          <w:szCs w:val="24"/>
        </w:rPr>
        <w:t>c</w:t>
      </w:r>
      <w:r w:rsidRPr="00965097">
        <w:rPr>
          <w:sz w:val="24"/>
          <w:szCs w:val="24"/>
        </w:rPr>
        <w:t>ase</w:t>
      </w:r>
      <w:r w:rsidR="00E630DE">
        <w:rPr>
          <w:sz w:val="24"/>
          <w:szCs w:val="24"/>
        </w:rPr>
        <w:t xml:space="preserve"> / justification</w:t>
      </w:r>
    </w:p>
    <w:p w14:paraId="433C918F" w14:textId="3AA58493" w:rsidR="00836331" w:rsidRPr="00965097" w:rsidRDefault="009F2A4B" w:rsidP="00D65E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321281" w:rsidRPr="00321281">
        <w:rPr>
          <w:sz w:val="24"/>
          <w:szCs w:val="24"/>
        </w:rPr>
        <w:t>elf-testing and diagnostic functions to replace manual surveillance testing</w:t>
      </w:r>
    </w:p>
    <w:p w14:paraId="2385A3B0" w14:textId="3307505A" w:rsidR="00B00C30" w:rsidRPr="00D65EC0" w:rsidRDefault="00C875DC" w:rsidP="00D65EC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</w:t>
      </w:r>
      <w:r w:rsidR="00C6667B">
        <w:rPr>
          <w:sz w:val="24"/>
          <w:szCs w:val="24"/>
        </w:rPr>
        <w:t xml:space="preserve"> safety considerations</w:t>
      </w:r>
      <w:r w:rsidR="00680D09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identified by the participant</w:t>
      </w:r>
      <w:r w:rsidR="00680D09">
        <w:rPr>
          <w:sz w:val="24"/>
          <w:szCs w:val="24"/>
        </w:rPr>
        <w:t>s</w:t>
      </w:r>
    </w:p>
    <w:p w14:paraId="1AF031E8" w14:textId="0BB75505" w:rsidR="000F038B" w:rsidRPr="000F038B" w:rsidRDefault="000F038B" w:rsidP="000F038B">
      <w:pPr>
        <w:rPr>
          <w:sz w:val="24"/>
          <w:szCs w:val="24"/>
        </w:rPr>
      </w:pPr>
    </w:p>
    <w:p w14:paraId="13455C16" w14:textId="2749AA21" w:rsidR="000F038B" w:rsidRPr="000F038B" w:rsidRDefault="000F038B" w:rsidP="000F038B">
      <w:pPr>
        <w:rPr>
          <w:b/>
          <w:bCs/>
          <w:sz w:val="28"/>
          <w:szCs w:val="28"/>
        </w:rPr>
      </w:pPr>
      <w:r w:rsidRPr="000F038B">
        <w:rPr>
          <w:b/>
          <w:bCs/>
          <w:sz w:val="28"/>
          <w:szCs w:val="28"/>
        </w:rPr>
        <w:t>Format</w:t>
      </w:r>
    </w:p>
    <w:p w14:paraId="50107B78" w14:textId="4CAE0C38" w:rsidR="000F038B" w:rsidRDefault="000F038B" w:rsidP="000F038B">
      <w:pPr>
        <w:rPr>
          <w:sz w:val="24"/>
          <w:szCs w:val="24"/>
        </w:rPr>
      </w:pPr>
      <w:r w:rsidRPr="000F038B">
        <w:rPr>
          <w:sz w:val="24"/>
          <w:szCs w:val="24"/>
        </w:rPr>
        <w:t xml:space="preserve">The </w:t>
      </w:r>
      <w:r w:rsidR="00CF5224">
        <w:rPr>
          <w:sz w:val="24"/>
          <w:szCs w:val="24"/>
        </w:rPr>
        <w:t>meeting</w:t>
      </w:r>
      <w:r w:rsidRPr="000F038B">
        <w:rPr>
          <w:sz w:val="24"/>
          <w:szCs w:val="24"/>
        </w:rPr>
        <w:t xml:space="preserve"> will be held at the Vienna International Centre (VIC), where the IAEA’s </w:t>
      </w:r>
      <w:r>
        <w:rPr>
          <w:sz w:val="24"/>
          <w:szCs w:val="24"/>
        </w:rPr>
        <w:t>H</w:t>
      </w:r>
      <w:r w:rsidRPr="000F038B">
        <w:rPr>
          <w:sz w:val="24"/>
          <w:szCs w:val="24"/>
        </w:rPr>
        <w:t xml:space="preserve">eadquarters are located. </w:t>
      </w:r>
      <w:r>
        <w:rPr>
          <w:sz w:val="24"/>
          <w:szCs w:val="24"/>
        </w:rPr>
        <w:t xml:space="preserve"> Participants will also be able to join the meeting via Webex.</w:t>
      </w:r>
    </w:p>
    <w:p w14:paraId="21C9EB4D" w14:textId="1B56973F" w:rsidR="009E0EEA" w:rsidRDefault="000F038B" w:rsidP="000F038B">
      <w:pPr>
        <w:rPr>
          <w:sz w:val="24"/>
          <w:szCs w:val="24"/>
        </w:rPr>
      </w:pPr>
      <w:r>
        <w:rPr>
          <w:sz w:val="24"/>
          <w:szCs w:val="24"/>
        </w:rPr>
        <w:t>Participants are invited to share their experience</w:t>
      </w:r>
      <w:r w:rsidR="00FF66E7">
        <w:rPr>
          <w:sz w:val="24"/>
          <w:szCs w:val="24"/>
        </w:rPr>
        <w:t>s</w:t>
      </w:r>
      <w:r>
        <w:rPr>
          <w:sz w:val="24"/>
          <w:szCs w:val="24"/>
        </w:rPr>
        <w:t xml:space="preserve"> of instrumentation and control modernisation projects</w:t>
      </w:r>
      <w:r w:rsidR="009E0EEA">
        <w:rPr>
          <w:sz w:val="24"/>
          <w:szCs w:val="24"/>
        </w:rPr>
        <w:t xml:space="preserve"> using presentations. </w:t>
      </w:r>
      <w:r w:rsidR="00286A03">
        <w:rPr>
          <w:sz w:val="24"/>
          <w:szCs w:val="24"/>
        </w:rPr>
        <w:t xml:space="preserve">Joint presentations from utilities, suppliers and regulators </w:t>
      </w:r>
      <w:r w:rsidR="00AC3CD7">
        <w:rPr>
          <w:sz w:val="24"/>
          <w:szCs w:val="24"/>
        </w:rPr>
        <w:t xml:space="preserve">associated with specific projects </w:t>
      </w:r>
      <w:r w:rsidR="00286A03">
        <w:rPr>
          <w:sz w:val="24"/>
          <w:szCs w:val="24"/>
        </w:rPr>
        <w:t xml:space="preserve">are </w:t>
      </w:r>
      <w:r w:rsidR="00C610F5">
        <w:rPr>
          <w:sz w:val="24"/>
          <w:szCs w:val="24"/>
        </w:rPr>
        <w:t xml:space="preserve">encouraged. </w:t>
      </w:r>
      <w:r w:rsidR="00774A27">
        <w:rPr>
          <w:sz w:val="24"/>
          <w:szCs w:val="24"/>
        </w:rPr>
        <w:t>Those</w:t>
      </w:r>
      <w:r w:rsidR="009E0EEA">
        <w:rPr>
          <w:sz w:val="24"/>
          <w:szCs w:val="24"/>
        </w:rPr>
        <w:t xml:space="preserve"> wishing to provide presentations should follow the arrangements detailed on the information sheet on the event web page (</w:t>
      </w:r>
      <w:hyperlink r:id="rId8" w:history="1">
        <w:r w:rsidR="009E0EEA" w:rsidRPr="00143015">
          <w:rPr>
            <w:rStyle w:val="Hyperlink"/>
            <w:sz w:val="24"/>
            <w:szCs w:val="24"/>
          </w:rPr>
          <w:t>https://www.iaea.org/events/evt2103182</w:t>
        </w:r>
      </w:hyperlink>
      <w:r w:rsidR="009E0EEA">
        <w:rPr>
          <w:sz w:val="24"/>
          <w:szCs w:val="24"/>
        </w:rPr>
        <w:t>).</w:t>
      </w:r>
      <w:r w:rsidR="00E036B8">
        <w:rPr>
          <w:sz w:val="24"/>
          <w:szCs w:val="24"/>
        </w:rPr>
        <w:t xml:space="preserve"> The IAEA respectfully request</w:t>
      </w:r>
      <w:r w:rsidR="000422C9">
        <w:rPr>
          <w:sz w:val="24"/>
          <w:szCs w:val="24"/>
        </w:rPr>
        <w:t>s</w:t>
      </w:r>
      <w:r w:rsidR="00E036B8">
        <w:rPr>
          <w:sz w:val="24"/>
          <w:szCs w:val="24"/>
        </w:rPr>
        <w:t xml:space="preserve"> that</w:t>
      </w:r>
      <w:r w:rsidR="00AF0847">
        <w:rPr>
          <w:sz w:val="24"/>
          <w:szCs w:val="24"/>
        </w:rPr>
        <w:t xml:space="preserve"> presentations </w:t>
      </w:r>
      <w:r w:rsidR="00C57AC8">
        <w:rPr>
          <w:sz w:val="24"/>
          <w:szCs w:val="24"/>
        </w:rPr>
        <w:t>explicitly include the learning that will assist other member</w:t>
      </w:r>
      <w:r w:rsidR="00A13F43">
        <w:rPr>
          <w:sz w:val="24"/>
          <w:szCs w:val="24"/>
        </w:rPr>
        <w:t xml:space="preserve"> states in their undertaking of similar activities</w:t>
      </w:r>
      <w:r w:rsidR="00444450">
        <w:rPr>
          <w:sz w:val="24"/>
          <w:szCs w:val="24"/>
        </w:rPr>
        <w:t>.</w:t>
      </w:r>
    </w:p>
    <w:p w14:paraId="17D6267F" w14:textId="7A4D7896" w:rsidR="009E0EEA" w:rsidRDefault="009E0EEA" w:rsidP="000F038B">
      <w:pPr>
        <w:rPr>
          <w:sz w:val="24"/>
          <w:szCs w:val="24"/>
        </w:rPr>
      </w:pPr>
      <w:r>
        <w:rPr>
          <w:sz w:val="24"/>
          <w:szCs w:val="24"/>
        </w:rPr>
        <w:t xml:space="preserve">In addition to presentations the event will also include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panel sessions where participants will have the opportunity to ask questions of the presenters as well as sharing their own experience of modernisation projects in an open discussion.</w:t>
      </w:r>
      <w:r w:rsidR="002C0007">
        <w:rPr>
          <w:sz w:val="24"/>
          <w:szCs w:val="24"/>
        </w:rPr>
        <w:t xml:space="preserve"> The panel sessions </w:t>
      </w:r>
      <w:r w:rsidR="00881040">
        <w:rPr>
          <w:sz w:val="24"/>
          <w:szCs w:val="24"/>
        </w:rPr>
        <w:lastRenderedPageBreak/>
        <w:t>will be</w:t>
      </w:r>
      <w:r w:rsidR="002C0007">
        <w:rPr>
          <w:sz w:val="24"/>
          <w:szCs w:val="24"/>
        </w:rPr>
        <w:t xml:space="preserve"> an opportunity to </w:t>
      </w:r>
      <w:r w:rsidR="00881040">
        <w:rPr>
          <w:sz w:val="24"/>
          <w:szCs w:val="24"/>
        </w:rPr>
        <w:t xml:space="preserve">elaborate on </w:t>
      </w:r>
      <w:r w:rsidR="007E24DD">
        <w:rPr>
          <w:sz w:val="24"/>
          <w:szCs w:val="24"/>
        </w:rPr>
        <w:t xml:space="preserve">specific </w:t>
      </w:r>
      <w:r w:rsidR="00881040">
        <w:rPr>
          <w:sz w:val="24"/>
          <w:szCs w:val="24"/>
        </w:rPr>
        <w:t xml:space="preserve">aspects </w:t>
      </w:r>
      <w:r w:rsidR="00E567C0">
        <w:rPr>
          <w:sz w:val="24"/>
          <w:szCs w:val="24"/>
        </w:rPr>
        <w:t>of</w:t>
      </w:r>
      <w:r w:rsidR="00881040">
        <w:rPr>
          <w:sz w:val="24"/>
          <w:szCs w:val="24"/>
        </w:rPr>
        <w:t xml:space="preserve"> </w:t>
      </w:r>
      <w:r w:rsidR="00240ACD">
        <w:rPr>
          <w:sz w:val="24"/>
          <w:szCs w:val="24"/>
        </w:rPr>
        <w:t xml:space="preserve">participant’s experiences and will facilitate the capture of key learning points for </w:t>
      </w:r>
      <w:r w:rsidR="00AA137E">
        <w:rPr>
          <w:sz w:val="24"/>
          <w:szCs w:val="24"/>
        </w:rPr>
        <w:t>the TECDOC</w:t>
      </w:r>
      <w:r w:rsidR="00E567C0">
        <w:rPr>
          <w:sz w:val="24"/>
          <w:szCs w:val="24"/>
        </w:rPr>
        <w:t xml:space="preserve"> to be developed following the event</w:t>
      </w:r>
      <w:r w:rsidR="00AA137E">
        <w:rPr>
          <w:sz w:val="24"/>
          <w:szCs w:val="24"/>
        </w:rPr>
        <w:t>.</w:t>
      </w:r>
    </w:p>
    <w:p w14:paraId="0917FA59" w14:textId="3B1C9BEB" w:rsidR="00ED0D40" w:rsidRDefault="00ED0D40" w:rsidP="000F038B">
      <w:pPr>
        <w:rPr>
          <w:sz w:val="24"/>
          <w:szCs w:val="24"/>
        </w:rPr>
      </w:pPr>
      <w:r>
        <w:rPr>
          <w:sz w:val="24"/>
          <w:szCs w:val="24"/>
        </w:rPr>
        <w:t xml:space="preserve">Participants are therefore requested to </w:t>
      </w:r>
      <w:r w:rsidR="00522912">
        <w:rPr>
          <w:sz w:val="24"/>
          <w:szCs w:val="24"/>
        </w:rPr>
        <w:t>attend to both learn from other</w:t>
      </w:r>
      <w:r w:rsidR="0047115A">
        <w:rPr>
          <w:sz w:val="24"/>
          <w:szCs w:val="24"/>
        </w:rPr>
        <w:t>’</w:t>
      </w:r>
      <w:r w:rsidR="00522912">
        <w:rPr>
          <w:sz w:val="24"/>
          <w:szCs w:val="24"/>
        </w:rPr>
        <w:t xml:space="preserve">s experiences </w:t>
      </w:r>
      <w:r w:rsidR="00BC66A3">
        <w:rPr>
          <w:sz w:val="24"/>
          <w:szCs w:val="24"/>
        </w:rPr>
        <w:t>and</w:t>
      </w:r>
      <w:r w:rsidR="00522912">
        <w:rPr>
          <w:sz w:val="24"/>
          <w:szCs w:val="24"/>
        </w:rPr>
        <w:t xml:space="preserve"> to also share their own.</w:t>
      </w:r>
    </w:p>
    <w:p w14:paraId="01DC8368" w14:textId="095EA0FE" w:rsidR="009E0EEA" w:rsidRDefault="009E0EEA" w:rsidP="000F038B">
      <w:pPr>
        <w:rPr>
          <w:sz w:val="24"/>
          <w:szCs w:val="24"/>
        </w:rPr>
      </w:pPr>
      <w:r>
        <w:rPr>
          <w:sz w:val="24"/>
          <w:szCs w:val="24"/>
        </w:rPr>
        <w:t xml:space="preserve">Participants are invited to identify those specific topics they would like to see discussed at a panel session to the Scientific Secretary of the event (see contact details </w:t>
      </w:r>
      <w:r w:rsidR="00721641">
        <w:rPr>
          <w:sz w:val="24"/>
          <w:szCs w:val="24"/>
        </w:rPr>
        <w:t>below</w:t>
      </w:r>
      <w:r>
        <w:rPr>
          <w:sz w:val="24"/>
          <w:szCs w:val="24"/>
        </w:rPr>
        <w:t xml:space="preserve">) no later than 27 January 2023. </w:t>
      </w:r>
    </w:p>
    <w:p w14:paraId="26A87A2E" w14:textId="17DC139F" w:rsidR="009E0EEA" w:rsidRDefault="009E0EEA" w:rsidP="000F038B">
      <w:pPr>
        <w:rPr>
          <w:sz w:val="24"/>
          <w:szCs w:val="24"/>
        </w:rPr>
      </w:pPr>
    </w:p>
    <w:p w14:paraId="7B2C3030" w14:textId="77777777" w:rsidR="001F0D97" w:rsidRPr="001F0D97" w:rsidRDefault="001F0D97" w:rsidP="001F0D97">
      <w:pPr>
        <w:rPr>
          <w:b/>
          <w:bCs/>
          <w:sz w:val="28"/>
          <w:szCs w:val="28"/>
        </w:rPr>
      </w:pPr>
      <w:r w:rsidRPr="001F0D97">
        <w:rPr>
          <w:b/>
          <w:bCs/>
          <w:sz w:val="28"/>
          <w:szCs w:val="28"/>
        </w:rPr>
        <w:t>IAEA Contacts</w:t>
      </w:r>
    </w:p>
    <w:p w14:paraId="69419DBE" w14:textId="77777777" w:rsidR="001F0D97" w:rsidRPr="00975BE0" w:rsidRDefault="001F0D97" w:rsidP="001F0D97">
      <w:pPr>
        <w:rPr>
          <w:b/>
          <w:bCs/>
          <w:sz w:val="24"/>
          <w:szCs w:val="24"/>
        </w:rPr>
      </w:pPr>
      <w:r w:rsidRPr="00975BE0">
        <w:rPr>
          <w:b/>
          <w:bCs/>
          <w:sz w:val="24"/>
          <w:szCs w:val="24"/>
        </w:rPr>
        <w:t>Scientific Secretary:</w:t>
      </w:r>
    </w:p>
    <w:p w14:paraId="154D690E" w14:textId="77777777" w:rsidR="001F0D97" w:rsidRPr="00975BE0" w:rsidRDefault="001F0D97" w:rsidP="001F0D97">
      <w:pPr>
        <w:rPr>
          <w:b/>
          <w:bCs/>
          <w:sz w:val="24"/>
          <w:szCs w:val="24"/>
        </w:rPr>
      </w:pPr>
      <w:r w:rsidRPr="00975BE0">
        <w:rPr>
          <w:b/>
          <w:bCs/>
          <w:sz w:val="24"/>
          <w:szCs w:val="24"/>
        </w:rPr>
        <w:t>Mr Yun Goo Kim</w:t>
      </w:r>
    </w:p>
    <w:p w14:paraId="54E6CE8F" w14:textId="77777777" w:rsidR="00975BE0" w:rsidRDefault="001F0D97" w:rsidP="00975BE0">
      <w:pPr>
        <w:spacing w:after="0"/>
        <w:rPr>
          <w:sz w:val="24"/>
          <w:szCs w:val="24"/>
        </w:rPr>
      </w:pPr>
      <w:r w:rsidRPr="001F0D97">
        <w:rPr>
          <w:sz w:val="24"/>
          <w:szCs w:val="24"/>
        </w:rPr>
        <w:t>Division of Nuclear Installation Safety</w:t>
      </w:r>
    </w:p>
    <w:p w14:paraId="57AFA326" w14:textId="6989574B" w:rsidR="001F0D97" w:rsidRPr="001F0D97" w:rsidRDefault="001F0D97" w:rsidP="00975BE0">
      <w:pPr>
        <w:spacing w:after="0"/>
        <w:rPr>
          <w:sz w:val="24"/>
          <w:szCs w:val="24"/>
        </w:rPr>
      </w:pPr>
      <w:r w:rsidRPr="001F0D97">
        <w:rPr>
          <w:sz w:val="24"/>
          <w:szCs w:val="24"/>
        </w:rPr>
        <w:t>Department of Nuclear Safety and Security</w:t>
      </w:r>
    </w:p>
    <w:p w14:paraId="0812D29B" w14:textId="77777777" w:rsidR="001F0D97" w:rsidRPr="001F0D97" w:rsidRDefault="001F0D97" w:rsidP="00975BE0">
      <w:pPr>
        <w:spacing w:after="0"/>
        <w:rPr>
          <w:sz w:val="24"/>
          <w:szCs w:val="24"/>
        </w:rPr>
      </w:pPr>
      <w:r w:rsidRPr="001F0D97">
        <w:rPr>
          <w:sz w:val="24"/>
          <w:szCs w:val="24"/>
        </w:rPr>
        <w:t>International Atomic Energy Agency</w:t>
      </w:r>
    </w:p>
    <w:p w14:paraId="55264A11" w14:textId="77777777" w:rsidR="001F0D97" w:rsidRPr="001F0D97" w:rsidRDefault="001F0D97" w:rsidP="00975BE0">
      <w:pPr>
        <w:spacing w:after="0"/>
        <w:rPr>
          <w:sz w:val="24"/>
          <w:szCs w:val="24"/>
        </w:rPr>
      </w:pPr>
      <w:r w:rsidRPr="001F0D97">
        <w:rPr>
          <w:sz w:val="24"/>
          <w:szCs w:val="24"/>
        </w:rPr>
        <w:t>Vienna International Centre</w:t>
      </w:r>
    </w:p>
    <w:p w14:paraId="38F44C23" w14:textId="77777777" w:rsidR="001F0D97" w:rsidRPr="001F0D97" w:rsidRDefault="001F0D97" w:rsidP="00975BE0">
      <w:pPr>
        <w:spacing w:after="0"/>
        <w:rPr>
          <w:sz w:val="24"/>
          <w:szCs w:val="24"/>
        </w:rPr>
      </w:pPr>
      <w:r w:rsidRPr="001F0D97">
        <w:rPr>
          <w:sz w:val="24"/>
          <w:szCs w:val="24"/>
        </w:rPr>
        <w:t>PO Box 100</w:t>
      </w:r>
    </w:p>
    <w:p w14:paraId="0F19AC04" w14:textId="77777777" w:rsidR="001F0D97" w:rsidRPr="001F0D97" w:rsidRDefault="001F0D97" w:rsidP="00975BE0">
      <w:pPr>
        <w:spacing w:after="0"/>
        <w:rPr>
          <w:sz w:val="24"/>
          <w:szCs w:val="24"/>
        </w:rPr>
      </w:pPr>
      <w:r w:rsidRPr="001F0D97">
        <w:rPr>
          <w:sz w:val="24"/>
          <w:szCs w:val="24"/>
        </w:rPr>
        <w:t>1400 VIENNA</w:t>
      </w:r>
    </w:p>
    <w:p w14:paraId="66E8CC00" w14:textId="77777777" w:rsidR="001F0D97" w:rsidRPr="001F0D97" w:rsidRDefault="001F0D97" w:rsidP="00975BE0">
      <w:pPr>
        <w:spacing w:after="0"/>
        <w:rPr>
          <w:sz w:val="24"/>
          <w:szCs w:val="24"/>
        </w:rPr>
      </w:pPr>
      <w:r w:rsidRPr="001F0D97">
        <w:rPr>
          <w:sz w:val="24"/>
          <w:szCs w:val="24"/>
        </w:rPr>
        <w:t>AUSTRIA</w:t>
      </w:r>
    </w:p>
    <w:p w14:paraId="0BE6FED5" w14:textId="77777777" w:rsidR="001F0D97" w:rsidRPr="001F0D97" w:rsidRDefault="001F0D97" w:rsidP="00C4466F">
      <w:pPr>
        <w:spacing w:after="0"/>
        <w:rPr>
          <w:sz w:val="24"/>
          <w:szCs w:val="24"/>
        </w:rPr>
      </w:pPr>
      <w:r w:rsidRPr="001F0D97">
        <w:rPr>
          <w:sz w:val="24"/>
          <w:szCs w:val="24"/>
        </w:rPr>
        <w:t>Tel.: +43 1 2600 21236</w:t>
      </w:r>
    </w:p>
    <w:p w14:paraId="37CAFB42" w14:textId="77777777" w:rsidR="001F0D97" w:rsidRPr="001F0D97" w:rsidRDefault="001F0D97" w:rsidP="00C4466F">
      <w:pPr>
        <w:spacing w:after="0"/>
        <w:rPr>
          <w:sz w:val="24"/>
          <w:szCs w:val="24"/>
        </w:rPr>
      </w:pPr>
      <w:r w:rsidRPr="001F0D97">
        <w:rPr>
          <w:sz w:val="24"/>
          <w:szCs w:val="24"/>
        </w:rPr>
        <w:t>Fax: +43 1 26007</w:t>
      </w:r>
    </w:p>
    <w:p w14:paraId="0115F091" w14:textId="0EAF006D" w:rsidR="001F0D97" w:rsidRDefault="001F0D97" w:rsidP="00C4466F">
      <w:pPr>
        <w:spacing w:after="0"/>
        <w:rPr>
          <w:sz w:val="24"/>
          <w:szCs w:val="24"/>
        </w:rPr>
      </w:pPr>
      <w:r w:rsidRPr="001F0D97">
        <w:rPr>
          <w:sz w:val="24"/>
          <w:szCs w:val="24"/>
        </w:rPr>
        <w:t xml:space="preserve">Email: </w:t>
      </w:r>
      <w:hyperlink r:id="rId9" w:history="1">
        <w:r w:rsidR="00C4466F" w:rsidRPr="00143015">
          <w:rPr>
            <w:rStyle w:val="Hyperlink"/>
            <w:sz w:val="24"/>
            <w:szCs w:val="24"/>
          </w:rPr>
          <w:t>Y.G.Kim@iaea.org</w:t>
        </w:r>
      </w:hyperlink>
    </w:p>
    <w:p w14:paraId="079C673F" w14:textId="77777777" w:rsidR="00C4466F" w:rsidRPr="001F0D97" w:rsidRDefault="00C4466F" w:rsidP="00C4466F">
      <w:pPr>
        <w:spacing w:after="0"/>
        <w:rPr>
          <w:sz w:val="24"/>
          <w:szCs w:val="24"/>
        </w:rPr>
      </w:pPr>
    </w:p>
    <w:p w14:paraId="41BA9922" w14:textId="77777777" w:rsidR="001F0D97" w:rsidRPr="00C4466F" w:rsidRDefault="001F0D97" w:rsidP="001F0D97">
      <w:pPr>
        <w:rPr>
          <w:b/>
          <w:bCs/>
          <w:sz w:val="24"/>
          <w:szCs w:val="24"/>
        </w:rPr>
      </w:pPr>
      <w:r w:rsidRPr="00C4466F">
        <w:rPr>
          <w:b/>
          <w:bCs/>
          <w:sz w:val="24"/>
          <w:szCs w:val="24"/>
        </w:rPr>
        <w:t>Administrative Secretary:</w:t>
      </w:r>
    </w:p>
    <w:p w14:paraId="2E917882" w14:textId="77777777" w:rsidR="001F0D97" w:rsidRPr="00C4466F" w:rsidRDefault="001F0D97" w:rsidP="001F0D97">
      <w:pPr>
        <w:rPr>
          <w:b/>
          <w:bCs/>
          <w:sz w:val="24"/>
          <w:szCs w:val="24"/>
        </w:rPr>
      </w:pPr>
      <w:r w:rsidRPr="00C4466F">
        <w:rPr>
          <w:b/>
          <w:bCs/>
          <w:sz w:val="24"/>
          <w:szCs w:val="24"/>
        </w:rPr>
        <w:t xml:space="preserve">Ms Sanja </w:t>
      </w:r>
      <w:proofErr w:type="spellStart"/>
      <w:r w:rsidRPr="00C4466F">
        <w:rPr>
          <w:b/>
          <w:bCs/>
          <w:sz w:val="24"/>
          <w:szCs w:val="24"/>
        </w:rPr>
        <w:t>Hadzic</w:t>
      </w:r>
      <w:proofErr w:type="spellEnd"/>
    </w:p>
    <w:p w14:paraId="1DC8D949" w14:textId="77777777" w:rsidR="001F0D97" w:rsidRPr="001F0D97" w:rsidRDefault="001F0D97" w:rsidP="00C4466F">
      <w:pPr>
        <w:spacing w:after="0"/>
        <w:rPr>
          <w:sz w:val="24"/>
          <w:szCs w:val="24"/>
        </w:rPr>
      </w:pPr>
      <w:r w:rsidRPr="001F0D97">
        <w:rPr>
          <w:sz w:val="24"/>
          <w:szCs w:val="24"/>
        </w:rPr>
        <w:t>Division of Nuclear Installation Safety</w:t>
      </w:r>
    </w:p>
    <w:p w14:paraId="3D4498FD" w14:textId="77777777" w:rsidR="001F0D97" w:rsidRPr="001F0D97" w:rsidRDefault="001F0D97" w:rsidP="00C4466F">
      <w:pPr>
        <w:spacing w:after="0"/>
        <w:rPr>
          <w:sz w:val="24"/>
          <w:szCs w:val="24"/>
        </w:rPr>
      </w:pPr>
      <w:r w:rsidRPr="001F0D97">
        <w:rPr>
          <w:sz w:val="24"/>
          <w:szCs w:val="24"/>
        </w:rPr>
        <w:t>Department of Nuclear Safety and Security</w:t>
      </w:r>
    </w:p>
    <w:p w14:paraId="0BAE0917" w14:textId="77777777" w:rsidR="001F0D97" w:rsidRPr="001F0D97" w:rsidRDefault="001F0D97" w:rsidP="00C4466F">
      <w:pPr>
        <w:spacing w:after="0"/>
        <w:rPr>
          <w:sz w:val="24"/>
          <w:szCs w:val="24"/>
        </w:rPr>
      </w:pPr>
      <w:r w:rsidRPr="001F0D97">
        <w:rPr>
          <w:sz w:val="24"/>
          <w:szCs w:val="24"/>
        </w:rPr>
        <w:t>International Atomic Energy Agency</w:t>
      </w:r>
    </w:p>
    <w:p w14:paraId="2E9F6F67" w14:textId="77777777" w:rsidR="001F0D97" w:rsidRPr="001F0D97" w:rsidRDefault="001F0D97" w:rsidP="00C4466F">
      <w:pPr>
        <w:spacing w:after="0"/>
        <w:rPr>
          <w:sz w:val="24"/>
          <w:szCs w:val="24"/>
        </w:rPr>
      </w:pPr>
      <w:r w:rsidRPr="001F0D97">
        <w:rPr>
          <w:sz w:val="24"/>
          <w:szCs w:val="24"/>
        </w:rPr>
        <w:t>Vienna International Centre</w:t>
      </w:r>
    </w:p>
    <w:p w14:paraId="3581972A" w14:textId="77777777" w:rsidR="001F0D97" w:rsidRPr="001F0D97" w:rsidRDefault="001F0D97" w:rsidP="00C4466F">
      <w:pPr>
        <w:spacing w:after="0"/>
        <w:rPr>
          <w:sz w:val="24"/>
          <w:szCs w:val="24"/>
        </w:rPr>
      </w:pPr>
      <w:r w:rsidRPr="001F0D97">
        <w:rPr>
          <w:sz w:val="24"/>
          <w:szCs w:val="24"/>
        </w:rPr>
        <w:t>PO Box 100</w:t>
      </w:r>
    </w:p>
    <w:p w14:paraId="4790EA71" w14:textId="77777777" w:rsidR="001F0D97" w:rsidRPr="001F0D97" w:rsidRDefault="001F0D97" w:rsidP="00C4466F">
      <w:pPr>
        <w:spacing w:after="0"/>
        <w:rPr>
          <w:sz w:val="24"/>
          <w:szCs w:val="24"/>
        </w:rPr>
      </w:pPr>
      <w:r w:rsidRPr="001F0D97">
        <w:rPr>
          <w:sz w:val="24"/>
          <w:szCs w:val="24"/>
        </w:rPr>
        <w:t>1400 VIENNA</w:t>
      </w:r>
    </w:p>
    <w:p w14:paraId="1D7ED622" w14:textId="77777777" w:rsidR="001F0D97" w:rsidRPr="001F0D97" w:rsidRDefault="001F0D97" w:rsidP="00C4466F">
      <w:pPr>
        <w:spacing w:after="0"/>
        <w:rPr>
          <w:sz w:val="24"/>
          <w:szCs w:val="24"/>
        </w:rPr>
      </w:pPr>
      <w:r w:rsidRPr="001F0D97">
        <w:rPr>
          <w:sz w:val="24"/>
          <w:szCs w:val="24"/>
        </w:rPr>
        <w:t>AUSTRIA</w:t>
      </w:r>
    </w:p>
    <w:p w14:paraId="25E98B1A" w14:textId="77777777" w:rsidR="001F0D97" w:rsidRPr="001F0D97" w:rsidRDefault="001F0D97" w:rsidP="00C4466F">
      <w:pPr>
        <w:spacing w:after="0"/>
        <w:rPr>
          <w:sz w:val="24"/>
          <w:szCs w:val="24"/>
        </w:rPr>
      </w:pPr>
      <w:r w:rsidRPr="001F0D97">
        <w:rPr>
          <w:sz w:val="24"/>
          <w:szCs w:val="24"/>
        </w:rPr>
        <w:t>Tel.: +43 1 2600 25557</w:t>
      </w:r>
    </w:p>
    <w:p w14:paraId="0B8A397E" w14:textId="77777777" w:rsidR="001F0D97" w:rsidRPr="001F0D97" w:rsidRDefault="001F0D97" w:rsidP="00C4466F">
      <w:pPr>
        <w:spacing w:after="0"/>
        <w:rPr>
          <w:sz w:val="24"/>
          <w:szCs w:val="24"/>
        </w:rPr>
      </w:pPr>
      <w:r w:rsidRPr="001F0D97">
        <w:rPr>
          <w:sz w:val="24"/>
          <w:szCs w:val="24"/>
        </w:rPr>
        <w:t>Fax: +43 1 26007</w:t>
      </w:r>
    </w:p>
    <w:p w14:paraId="50CC5078" w14:textId="6DEF374E" w:rsidR="001F0D97" w:rsidRDefault="001F0D97" w:rsidP="00C4466F">
      <w:pPr>
        <w:spacing w:after="0"/>
        <w:rPr>
          <w:sz w:val="24"/>
          <w:szCs w:val="24"/>
        </w:rPr>
      </w:pPr>
      <w:r w:rsidRPr="001F0D97">
        <w:rPr>
          <w:sz w:val="24"/>
          <w:szCs w:val="24"/>
        </w:rPr>
        <w:t xml:space="preserve">Email: </w:t>
      </w:r>
      <w:hyperlink r:id="rId10" w:history="1">
        <w:r w:rsidR="00C4466F" w:rsidRPr="00143015">
          <w:rPr>
            <w:rStyle w:val="Hyperlink"/>
            <w:sz w:val="24"/>
            <w:szCs w:val="24"/>
          </w:rPr>
          <w:t>S.Hadzic@iaea.org</w:t>
        </w:r>
      </w:hyperlink>
    </w:p>
    <w:p w14:paraId="0DCC4DA1" w14:textId="77777777" w:rsidR="00C4466F" w:rsidRPr="001F0D97" w:rsidRDefault="00C4466F" w:rsidP="00C4466F">
      <w:pPr>
        <w:spacing w:after="0"/>
        <w:rPr>
          <w:sz w:val="24"/>
          <w:szCs w:val="24"/>
        </w:rPr>
      </w:pPr>
    </w:p>
    <w:p w14:paraId="7FA06E0C" w14:textId="7425EAB2" w:rsidR="001F0D97" w:rsidRPr="001F0D97" w:rsidRDefault="001F0D97" w:rsidP="001F0D97">
      <w:pPr>
        <w:rPr>
          <w:sz w:val="24"/>
          <w:szCs w:val="24"/>
        </w:rPr>
      </w:pPr>
      <w:r w:rsidRPr="001F0D97">
        <w:rPr>
          <w:sz w:val="24"/>
          <w:szCs w:val="24"/>
        </w:rPr>
        <w:t>Subsequent correspondence on scientific matters should be sent to the Scientific Secretary and correspondence on other matters related to the event to the Administrative Secretary.</w:t>
      </w:r>
    </w:p>
    <w:p w14:paraId="2FDEBE10" w14:textId="77777777" w:rsidR="00B42236" w:rsidRDefault="00B42236" w:rsidP="001F0D97">
      <w:pPr>
        <w:rPr>
          <w:b/>
          <w:bCs/>
          <w:sz w:val="28"/>
          <w:szCs w:val="28"/>
        </w:rPr>
      </w:pPr>
    </w:p>
    <w:p w14:paraId="572280A6" w14:textId="31875543" w:rsidR="001F0D97" w:rsidRPr="001F0D97" w:rsidRDefault="001F0D97" w:rsidP="001F0D97">
      <w:pPr>
        <w:rPr>
          <w:b/>
          <w:bCs/>
          <w:sz w:val="28"/>
          <w:szCs w:val="28"/>
        </w:rPr>
      </w:pPr>
      <w:r w:rsidRPr="001F0D97">
        <w:rPr>
          <w:b/>
          <w:bCs/>
          <w:sz w:val="28"/>
          <w:szCs w:val="28"/>
        </w:rPr>
        <w:t>Event Web Page</w:t>
      </w:r>
    </w:p>
    <w:p w14:paraId="70E9664B" w14:textId="1963E75B" w:rsidR="001F0D97" w:rsidRDefault="001F0D97" w:rsidP="001F0D97">
      <w:pPr>
        <w:rPr>
          <w:sz w:val="24"/>
          <w:szCs w:val="24"/>
        </w:rPr>
      </w:pPr>
      <w:r w:rsidRPr="001F0D97">
        <w:rPr>
          <w:sz w:val="24"/>
          <w:szCs w:val="24"/>
        </w:rPr>
        <w:t>Please visit the following IAEA web page regularly for new information regarding this event:</w:t>
      </w:r>
      <w:r>
        <w:rPr>
          <w:sz w:val="24"/>
          <w:szCs w:val="24"/>
        </w:rPr>
        <w:t xml:space="preserve"> </w:t>
      </w:r>
      <w:hyperlink r:id="rId11" w:history="1">
        <w:r w:rsidRPr="00143015">
          <w:rPr>
            <w:rStyle w:val="Hyperlink"/>
            <w:sz w:val="24"/>
            <w:szCs w:val="24"/>
          </w:rPr>
          <w:t>www.iaea.org/events/EVT2103182</w:t>
        </w:r>
      </w:hyperlink>
      <w:r>
        <w:rPr>
          <w:sz w:val="24"/>
          <w:szCs w:val="24"/>
        </w:rPr>
        <w:t>.</w:t>
      </w:r>
    </w:p>
    <w:sectPr w:rsidR="001F0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D7B7" w14:textId="77777777" w:rsidR="00E8197A" w:rsidRDefault="00E8197A" w:rsidP="002C2605">
      <w:pPr>
        <w:spacing w:after="0" w:line="240" w:lineRule="auto"/>
      </w:pPr>
      <w:r>
        <w:separator/>
      </w:r>
    </w:p>
  </w:endnote>
  <w:endnote w:type="continuationSeparator" w:id="0">
    <w:p w14:paraId="13923C79" w14:textId="77777777" w:rsidR="00E8197A" w:rsidRDefault="00E8197A" w:rsidP="002C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7D30" w14:textId="77777777" w:rsidR="00E8197A" w:rsidRDefault="00E8197A" w:rsidP="002C2605">
      <w:pPr>
        <w:spacing w:after="0" w:line="240" w:lineRule="auto"/>
      </w:pPr>
      <w:r>
        <w:separator/>
      </w:r>
    </w:p>
  </w:footnote>
  <w:footnote w:type="continuationSeparator" w:id="0">
    <w:p w14:paraId="341518E4" w14:textId="77777777" w:rsidR="00E8197A" w:rsidRDefault="00E8197A" w:rsidP="002C2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61214"/>
    <w:multiLevelType w:val="hybridMultilevel"/>
    <w:tmpl w:val="872A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602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8B"/>
    <w:rsid w:val="000179BD"/>
    <w:rsid w:val="00040906"/>
    <w:rsid w:val="000422C9"/>
    <w:rsid w:val="000424EC"/>
    <w:rsid w:val="00044BA6"/>
    <w:rsid w:val="00051089"/>
    <w:rsid w:val="00063F86"/>
    <w:rsid w:val="00071B17"/>
    <w:rsid w:val="00071FC5"/>
    <w:rsid w:val="000B54DD"/>
    <w:rsid w:val="000E5AD6"/>
    <w:rsid w:val="000E6711"/>
    <w:rsid w:val="000F038B"/>
    <w:rsid w:val="000F54B3"/>
    <w:rsid w:val="00105F6D"/>
    <w:rsid w:val="00152E1C"/>
    <w:rsid w:val="00175B19"/>
    <w:rsid w:val="0019199A"/>
    <w:rsid w:val="001A3B11"/>
    <w:rsid w:val="001A61AE"/>
    <w:rsid w:val="001E49F6"/>
    <w:rsid w:val="001F0D97"/>
    <w:rsid w:val="0023664B"/>
    <w:rsid w:val="00237AF4"/>
    <w:rsid w:val="00240ACD"/>
    <w:rsid w:val="002628ED"/>
    <w:rsid w:val="0027016C"/>
    <w:rsid w:val="00286A03"/>
    <w:rsid w:val="00292686"/>
    <w:rsid w:val="002C0007"/>
    <w:rsid w:val="002C2605"/>
    <w:rsid w:val="00321281"/>
    <w:rsid w:val="00372A7B"/>
    <w:rsid w:val="003762A2"/>
    <w:rsid w:val="003800C0"/>
    <w:rsid w:val="003E0E75"/>
    <w:rsid w:val="004034B0"/>
    <w:rsid w:val="00410C66"/>
    <w:rsid w:val="00415D32"/>
    <w:rsid w:val="00423258"/>
    <w:rsid w:val="00444450"/>
    <w:rsid w:val="0047115A"/>
    <w:rsid w:val="0047634A"/>
    <w:rsid w:val="00476FEB"/>
    <w:rsid w:val="004F6CD1"/>
    <w:rsid w:val="00522912"/>
    <w:rsid w:val="00527894"/>
    <w:rsid w:val="005472F0"/>
    <w:rsid w:val="005657AB"/>
    <w:rsid w:val="00582E5E"/>
    <w:rsid w:val="00593EC0"/>
    <w:rsid w:val="006575BA"/>
    <w:rsid w:val="006673AB"/>
    <w:rsid w:val="00680D09"/>
    <w:rsid w:val="006A1D18"/>
    <w:rsid w:val="006A6D43"/>
    <w:rsid w:val="006C2D1F"/>
    <w:rsid w:val="006E2E9E"/>
    <w:rsid w:val="006E727B"/>
    <w:rsid w:val="006F29BA"/>
    <w:rsid w:val="00721641"/>
    <w:rsid w:val="00762934"/>
    <w:rsid w:val="00774A27"/>
    <w:rsid w:val="00774F98"/>
    <w:rsid w:val="007E24DD"/>
    <w:rsid w:val="007E2A06"/>
    <w:rsid w:val="00826D28"/>
    <w:rsid w:val="00836331"/>
    <w:rsid w:val="008461AC"/>
    <w:rsid w:val="00862920"/>
    <w:rsid w:val="00881040"/>
    <w:rsid w:val="008F3B45"/>
    <w:rsid w:val="008F77E9"/>
    <w:rsid w:val="009126D5"/>
    <w:rsid w:val="0092074E"/>
    <w:rsid w:val="00921961"/>
    <w:rsid w:val="009451F5"/>
    <w:rsid w:val="00965097"/>
    <w:rsid w:val="009668BC"/>
    <w:rsid w:val="00975BE0"/>
    <w:rsid w:val="009817F0"/>
    <w:rsid w:val="009B754D"/>
    <w:rsid w:val="009E0EEA"/>
    <w:rsid w:val="009F2A4B"/>
    <w:rsid w:val="00A02943"/>
    <w:rsid w:val="00A13F43"/>
    <w:rsid w:val="00A23256"/>
    <w:rsid w:val="00A5180F"/>
    <w:rsid w:val="00A667EA"/>
    <w:rsid w:val="00A700C3"/>
    <w:rsid w:val="00A8640C"/>
    <w:rsid w:val="00AA137E"/>
    <w:rsid w:val="00AC3CD7"/>
    <w:rsid w:val="00AF0847"/>
    <w:rsid w:val="00B00C30"/>
    <w:rsid w:val="00B35A97"/>
    <w:rsid w:val="00B42236"/>
    <w:rsid w:val="00B617F2"/>
    <w:rsid w:val="00BB6517"/>
    <w:rsid w:val="00BC66A3"/>
    <w:rsid w:val="00BD792A"/>
    <w:rsid w:val="00C03427"/>
    <w:rsid w:val="00C269CA"/>
    <w:rsid w:val="00C4466F"/>
    <w:rsid w:val="00C57AC8"/>
    <w:rsid w:val="00C610F5"/>
    <w:rsid w:val="00C6667B"/>
    <w:rsid w:val="00C875DC"/>
    <w:rsid w:val="00C92AE4"/>
    <w:rsid w:val="00CB567E"/>
    <w:rsid w:val="00CC0001"/>
    <w:rsid w:val="00CF5224"/>
    <w:rsid w:val="00D20B4F"/>
    <w:rsid w:val="00D253C8"/>
    <w:rsid w:val="00D2731F"/>
    <w:rsid w:val="00D62DC1"/>
    <w:rsid w:val="00D65EC0"/>
    <w:rsid w:val="00DC4A79"/>
    <w:rsid w:val="00DF1A1B"/>
    <w:rsid w:val="00E00FCC"/>
    <w:rsid w:val="00E036B8"/>
    <w:rsid w:val="00E1543D"/>
    <w:rsid w:val="00E40B08"/>
    <w:rsid w:val="00E51024"/>
    <w:rsid w:val="00E533A7"/>
    <w:rsid w:val="00E567C0"/>
    <w:rsid w:val="00E630DE"/>
    <w:rsid w:val="00E757D3"/>
    <w:rsid w:val="00E8197A"/>
    <w:rsid w:val="00E959A4"/>
    <w:rsid w:val="00EC417A"/>
    <w:rsid w:val="00ED0D40"/>
    <w:rsid w:val="00F12C1A"/>
    <w:rsid w:val="00F61B40"/>
    <w:rsid w:val="00F758E2"/>
    <w:rsid w:val="00FB5241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5CA36"/>
  <w15:chartTrackingRefBased/>
  <w15:docId w15:val="{6BA5706F-5CA2-4EB0-9FED-55D92898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E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E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0C6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5E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4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9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ea.org/events/evt21031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aea.org/sites/default/files/22/11/evt2103182_information_shee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aea.org/events/EVT2103182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.Hadzic@iae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.G.Kim@ia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Wardle</dc:creator>
  <cp:keywords/>
  <dc:description/>
  <cp:lastModifiedBy>VIDELA, Laura</cp:lastModifiedBy>
  <cp:revision>2</cp:revision>
  <dcterms:created xsi:type="dcterms:W3CDTF">2023-01-18T09:26:00Z</dcterms:created>
  <dcterms:modified xsi:type="dcterms:W3CDTF">2023-01-18T09:26:00Z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e5e003a-90eb-47c9-a506-ad47e7a0b281_Enabled">
    <vt:lpwstr>true</vt:lpwstr>
  </property>
  <property fmtid="{D5CDD505-2E9C-101B-9397-08002B2CF9AE}" pid="3" name="MSIP_Label_9e5e003a-90eb-47c9-a506-ad47e7a0b281_SetDate">
    <vt:lpwstr>2022-12-21T14:46:47Z</vt:lpwstr>
  </property>
  <property fmtid="{D5CDD505-2E9C-101B-9397-08002B2CF9AE}" pid="4" name="MSIP_Label_9e5e003a-90eb-47c9-a506-ad47e7a0b281_Method">
    <vt:lpwstr>Privileged</vt:lpwstr>
  </property>
  <property fmtid="{D5CDD505-2E9C-101B-9397-08002B2CF9AE}" pid="5" name="MSIP_Label_9e5e003a-90eb-47c9-a506-ad47e7a0b281_Name">
    <vt:lpwstr>OFFICIAL</vt:lpwstr>
  </property>
  <property fmtid="{D5CDD505-2E9C-101B-9397-08002B2CF9AE}" pid="6" name="MSIP_Label_9e5e003a-90eb-47c9-a506-ad47e7a0b281_SiteId">
    <vt:lpwstr>742775df-8077-48d6-81d0-1e82a1f52cb8</vt:lpwstr>
  </property>
  <property fmtid="{D5CDD505-2E9C-101B-9397-08002B2CF9AE}" pid="7" name="MSIP_Label_9e5e003a-90eb-47c9-a506-ad47e7a0b281_ActionId">
    <vt:lpwstr>5852567b-c43c-476d-a697-7687fb7ad51d</vt:lpwstr>
  </property>
  <property fmtid="{D5CDD505-2E9C-101B-9397-08002B2CF9AE}" pid="8" name="MSIP_Label_9e5e003a-90eb-47c9-a506-ad47e7a0b281_ContentBits">
    <vt:lpwstr>0</vt:lpwstr>
  </property>
</Properties>
</file>