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87"/>
        <w:tblW w:w="9498" w:type="dxa"/>
        <w:tblLook w:val="04A0" w:firstRow="1" w:lastRow="0" w:firstColumn="1" w:lastColumn="0" w:noHBand="0" w:noVBand="1"/>
      </w:tblPr>
      <w:tblGrid>
        <w:gridCol w:w="4395"/>
        <w:gridCol w:w="5103"/>
      </w:tblGrid>
      <w:tr w:rsidR="00E51560" w:rsidRPr="00D5543D" w14:paraId="555C8CFD" w14:textId="77777777" w:rsidTr="008001C4">
        <w:tc>
          <w:tcPr>
            <w:tcW w:w="4395" w:type="dxa"/>
            <w:shd w:val="clear" w:color="auto" w:fill="C6D9F1" w:themeFill="text2" w:themeFillTint="33"/>
          </w:tcPr>
          <w:p w14:paraId="4EB7F75D" w14:textId="77777777" w:rsidR="00E51560" w:rsidRPr="00D5543D" w:rsidRDefault="00E51560" w:rsidP="00424F88">
            <w:pPr>
              <w:pStyle w:val="Heading2"/>
              <w:outlineLvl w:val="1"/>
              <w:rPr>
                <w:lang w:eastAsia="en-GB"/>
              </w:rPr>
            </w:pPr>
            <w:r w:rsidRPr="00D5543D">
              <w:rPr>
                <w:lang w:eastAsia="en-GB"/>
              </w:rPr>
              <w:t>PROJECT TITLE</w:t>
            </w:r>
          </w:p>
        </w:tc>
        <w:tc>
          <w:tcPr>
            <w:tcW w:w="5103" w:type="dxa"/>
            <w:shd w:val="clear" w:color="auto" w:fill="C6D9F1" w:themeFill="text2" w:themeFillTint="33"/>
          </w:tcPr>
          <w:p w14:paraId="02997CFC" w14:textId="77777777" w:rsidR="00E51560" w:rsidRPr="00D5543D" w:rsidRDefault="00E51560" w:rsidP="008001C4">
            <w:pPr>
              <w:jc w:val="center"/>
              <w:rPr>
                <w:rFonts w:ascii="Times New Roman" w:eastAsia="Times New Roman" w:hAnsi="Times New Roman" w:cs="Times New Roman"/>
                <w:b/>
                <w:sz w:val="20"/>
                <w:szCs w:val="16"/>
                <w:lang w:eastAsia="en-GB"/>
              </w:rPr>
            </w:pPr>
            <w:r>
              <w:rPr>
                <w:rFonts w:ascii="Times New Roman" w:eastAsia="Times New Roman" w:hAnsi="Times New Roman" w:cs="Times New Roman"/>
                <w:b/>
                <w:sz w:val="20"/>
                <w:szCs w:val="16"/>
                <w:lang w:eastAsia="en-GB"/>
              </w:rPr>
              <w:t>PROJECT OBJECTIVE</w:t>
            </w:r>
          </w:p>
        </w:tc>
      </w:tr>
      <w:tr w:rsidR="00E51560" w14:paraId="47629DFB" w14:textId="77777777" w:rsidTr="008001C4">
        <w:tc>
          <w:tcPr>
            <w:tcW w:w="4395" w:type="dxa"/>
          </w:tcPr>
          <w:p w14:paraId="5A999DA7" w14:textId="1741DD19" w:rsidR="00E51560" w:rsidRPr="00AD0067" w:rsidRDefault="0081685D" w:rsidP="008001C4">
            <w:pPr>
              <w:jc w:val="both"/>
              <w:rPr>
                <w:rFonts w:ascii="Times New Roman" w:eastAsia="Times New Roman" w:hAnsi="Times New Roman" w:cs="Times New Roman"/>
                <w:sz w:val="20"/>
                <w:szCs w:val="16"/>
                <w:lang w:eastAsia="en-GB"/>
              </w:rPr>
            </w:pPr>
            <w:r w:rsidRPr="0081685D">
              <w:rPr>
                <w:rFonts w:ascii="Times New Roman" w:eastAsia="Times New Roman" w:hAnsi="Times New Roman" w:cs="Times New Roman"/>
                <w:sz w:val="20"/>
                <w:szCs w:val="16"/>
                <w:lang w:eastAsia="en-GB"/>
              </w:rPr>
              <w:t>Enhancing the Use of Seismic Experience Data</w:t>
            </w:r>
          </w:p>
        </w:tc>
        <w:tc>
          <w:tcPr>
            <w:tcW w:w="5103" w:type="dxa"/>
          </w:tcPr>
          <w:p w14:paraId="78246531" w14:textId="6C3C042B" w:rsidR="00590E04" w:rsidRDefault="00590E04" w:rsidP="00181CB9">
            <w:pPr>
              <w:jc w:val="both"/>
              <w:rPr>
                <w:rFonts w:ascii="Times New Roman" w:eastAsia="Times New Roman" w:hAnsi="Times New Roman" w:cs="Times New Roman"/>
                <w:sz w:val="20"/>
                <w:szCs w:val="16"/>
                <w:lang w:eastAsia="en-GB"/>
              </w:rPr>
            </w:pPr>
            <w:r w:rsidRPr="00590E04">
              <w:rPr>
                <w:rFonts w:ascii="Times New Roman" w:eastAsia="Times New Roman" w:hAnsi="Times New Roman" w:cs="Times New Roman"/>
                <w:sz w:val="20"/>
                <w:szCs w:val="16"/>
                <w:lang w:eastAsia="en-GB"/>
              </w:rPr>
              <w:t>To enhance the use of seismic experience data for establishing seismic safety margins of new and existing nuclear installations supporting preparedness for plant restart after an earthquake, by gathering, processing and making publicly available updated data about seismic performance of equipment designs</w:t>
            </w:r>
            <w:r w:rsidR="00A837B5">
              <w:rPr>
                <w:rFonts w:ascii="Times New Roman" w:eastAsia="Times New Roman" w:hAnsi="Times New Roman" w:cs="Times New Roman"/>
                <w:sz w:val="20"/>
                <w:szCs w:val="16"/>
                <w:lang w:eastAsia="en-GB"/>
              </w:rPr>
              <w:t>.</w:t>
            </w:r>
          </w:p>
          <w:p w14:paraId="7701A9F5" w14:textId="1A9F9B32" w:rsidR="00590E04" w:rsidRPr="00181CB9" w:rsidRDefault="00590E04" w:rsidP="00181CB9">
            <w:pPr>
              <w:jc w:val="both"/>
              <w:rPr>
                <w:rFonts w:ascii="Times New Roman" w:eastAsia="Times New Roman" w:hAnsi="Times New Roman" w:cs="Times New Roman"/>
                <w:sz w:val="20"/>
                <w:szCs w:val="16"/>
                <w:lang w:eastAsia="en-GB"/>
              </w:rPr>
            </w:pPr>
            <w:r w:rsidRPr="00181CB9">
              <w:rPr>
                <w:rFonts w:ascii="Times New Roman" w:eastAsia="Times New Roman" w:hAnsi="Times New Roman" w:cs="Times New Roman"/>
                <w:sz w:val="20"/>
                <w:szCs w:val="16"/>
                <w:lang w:eastAsia="en-GB"/>
              </w:rPr>
              <w:t>To enhance Member States capability for evaluation of seismic safety for new and existing nuclear installations</w:t>
            </w:r>
            <w:r w:rsidR="00A837B5" w:rsidRPr="00181CB9">
              <w:rPr>
                <w:rFonts w:ascii="Times New Roman" w:eastAsia="Times New Roman" w:hAnsi="Times New Roman" w:cs="Times New Roman"/>
                <w:sz w:val="20"/>
                <w:szCs w:val="16"/>
                <w:lang w:eastAsia="en-GB"/>
              </w:rPr>
              <w:t>.</w:t>
            </w:r>
          </w:p>
          <w:p w14:paraId="79ECFFAF" w14:textId="77777777" w:rsidR="00590E04" w:rsidRPr="00181CB9" w:rsidRDefault="00590E04" w:rsidP="00181CB9">
            <w:pPr>
              <w:jc w:val="both"/>
              <w:rPr>
                <w:rFonts w:ascii="Times New Roman" w:eastAsia="Times New Roman" w:hAnsi="Times New Roman" w:cs="Times New Roman"/>
                <w:sz w:val="20"/>
                <w:szCs w:val="16"/>
                <w:lang w:eastAsia="en-GB"/>
              </w:rPr>
            </w:pPr>
            <w:r w:rsidRPr="00181CB9">
              <w:rPr>
                <w:rFonts w:ascii="Times New Roman" w:eastAsia="Times New Roman" w:hAnsi="Times New Roman" w:cs="Times New Roman"/>
                <w:sz w:val="20"/>
                <w:szCs w:val="16"/>
                <w:lang w:eastAsia="en-GB"/>
              </w:rPr>
              <w:t>To enhance the IAEA safety standards and peer review methodology and criteria related to seismic safety evaluation; and</w:t>
            </w:r>
          </w:p>
          <w:p w14:paraId="5241F50C" w14:textId="3C2F340F" w:rsidR="00E51560" w:rsidRPr="00181CB9" w:rsidRDefault="00590E04" w:rsidP="00181CB9">
            <w:pPr>
              <w:jc w:val="both"/>
              <w:rPr>
                <w:rFonts w:ascii="Times New Roman" w:eastAsia="Times New Roman" w:hAnsi="Times New Roman" w:cs="Times New Roman"/>
                <w:sz w:val="20"/>
                <w:szCs w:val="16"/>
                <w:lang w:eastAsia="en-GB"/>
              </w:rPr>
            </w:pPr>
            <w:r w:rsidRPr="00181CB9">
              <w:rPr>
                <w:rFonts w:ascii="Times New Roman" w:eastAsia="Times New Roman" w:hAnsi="Times New Roman" w:cs="Times New Roman"/>
                <w:sz w:val="20"/>
                <w:szCs w:val="16"/>
                <w:lang w:eastAsia="en-GB"/>
              </w:rPr>
              <w:t>To provide for an enhancement of seismic safety for new and existing nuclear installations.</w:t>
            </w:r>
          </w:p>
        </w:tc>
      </w:tr>
      <w:tr w:rsidR="00E51560" w14:paraId="6B18CEA7" w14:textId="77777777" w:rsidTr="008001C4">
        <w:tc>
          <w:tcPr>
            <w:tcW w:w="4395" w:type="dxa"/>
          </w:tcPr>
          <w:p w14:paraId="2D53911C" w14:textId="43D14CF3" w:rsidR="00E51560" w:rsidRPr="00D5543D" w:rsidRDefault="0081685D" w:rsidP="008001C4">
            <w:pPr>
              <w:jc w:val="both"/>
              <w:rPr>
                <w:rFonts w:ascii="Times New Roman" w:eastAsia="Times New Roman" w:hAnsi="Times New Roman" w:cs="Times New Roman"/>
                <w:sz w:val="20"/>
                <w:szCs w:val="16"/>
                <w:lang w:eastAsia="en-GB"/>
              </w:rPr>
            </w:pPr>
            <w:r w:rsidRPr="0081685D">
              <w:rPr>
                <w:rFonts w:ascii="Times New Roman" w:eastAsia="Times New Roman" w:hAnsi="Times New Roman" w:cs="Times New Roman"/>
                <w:sz w:val="20"/>
                <w:szCs w:val="16"/>
                <w:lang w:eastAsia="en-GB"/>
              </w:rPr>
              <w:t>Improving Nuclear Safety for Embarking Countries: to Assist Member States in Developing Competencies for Reviewing the Site Evaluation Chapter of the Safety Analysis Report</w:t>
            </w:r>
          </w:p>
        </w:tc>
        <w:tc>
          <w:tcPr>
            <w:tcW w:w="5103" w:type="dxa"/>
          </w:tcPr>
          <w:p w14:paraId="79F29A5D" w14:textId="27135446" w:rsidR="00E51560" w:rsidRPr="00D5543D" w:rsidRDefault="00782AA2" w:rsidP="008001C4">
            <w:pPr>
              <w:jc w:val="both"/>
              <w:rPr>
                <w:rFonts w:ascii="Times New Roman" w:eastAsia="Times New Roman" w:hAnsi="Times New Roman" w:cs="Times New Roman"/>
                <w:sz w:val="20"/>
                <w:szCs w:val="16"/>
                <w:lang w:eastAsia="en-GB"/>
              </w:rPr>
            </w:pPr>
            <w:r w:rsidRPr="00782AA2">
              <w:rPr>
                <w:rFonts w:ascii="Times New Roman" w:eastAsia="Times New Roman" w:hAnsi="Times New Roman" w:cs="Times New Roman"/>
                <w:sz w:val="20"/>
                <w:szCs w:val="16"/>
                <w:lang w:eastAsia="en-GB"/>
              </w:rPr>
              <w:t>To assist Member States (particularly embarking countries) in establishing their national technical capabilities to review and conduct safety assessment of the Site Evaluation Report and/or Site Evaluation Chapter of the Safety Analysis Report of nuclear power plants or research reactors</w:t>
            </w:r>
            <w:r>
              <w:rPr>
                <w:rFonts w:ascii="Times New Roman" w:eastAsia="Times New Roman" w:hAnsi="Times New Roman" w:cs="Times New Roman"/>
                <w:sz w:val="20"/>
                <w:szCs w:val="16"/>
                <w:lang w:eastAsia="en-GB"/>
              </w:rPr>
              <w:t>.</w:t>
            </w:r>
          </w:p>
        </w:tc>
      </w:tr>
      <w:tr w:rsidR="00E51560" w14:paraId="191EC2FE" w14:textId="77777777" w:rsidTr="008001C4">
        <w:trPr>
          <w:trHeight w:val="628"/>
        </w:trPr>
        <w:tc>
          <w:tcPr>
            <w:tcW w:w="4395" w:type="dxa"/>
          </w:tcPr>
          <w:p w14:paraId="31BCDA06" w14:textId="730F9554" w:rsidR="00E51560" w:rsidRPr="00D5543D" w:rsidRDefault="0081685D" w:rsidP="008001C4">
            <w:pPr>
              <w:rPr>
                <w:rFonts w:ascii="Times New Roman" w:eastAsia="Times New Roman" w:hAnsi="Times New Roman" w:cs="Times New Roman"/>
                <w:sz w:val="20"/>
                <w:szCs w:val="16"/>
                <w:lang w:eastAsia="en-GB"/>
              </w:rPr>
            </w:pPr>
            <w:r w:rsidRPr="0081685D">
              <w:rPr>
                <w:rFonts w:ascii="Times New Roman" w:eastAsia="Times New Roman" w:hAnsi="Times New Roman" w:cs="Times New Roman"/>
                <w:sz w:val="20"/>
                <w:szCs w:val="16"/>
                <w:lang w:eastAsia="en-GB"/>
              </w:rPr>
              <w:t>International School of Nuclear and Radiological Leadership for Safety</w:t>
            </w:r>
          </w:p>
        </w:tc>
        <w:tc>
          <w:tcPr>
            <w:tcW w:w="5103" w:type="dxa"/>
          </w:tcPr>
          <w:p w14:paraId="51DBEF06" w14:textId="12A22730" w:rsidR="00782AA2" w:rsidRPr="00782AA2" w:rsidRDefault="00BA1D47" w:rsidP="00782AA2">
            <w:pPr>
              <w:rPr>
                <w:rFonts w:ascii="Times New Roman" w:eastAsia="Times New Roman" w:hAnsi="Times New Roman" w:cs="Times New Roman"/>
                <w:sz w:val="20"/>
                <w:szCs w:val="16"/>
                <w:lang w:eastAsia="en-GB"/>
              </w:rPr>
            </w:pPr>
            <w:r>
              <w:rPr>
                <w:rFonts w:ascii="Times New Roman" w:eastAsia="Times New Roman" w:hAnsi="Times New Roman" w:cs="Times New Roman"/>
                <w:sz w:val="20"/>
                <w:szCs w:val="16"/>
                <w:lang w:eastAsia="en-GB"/>
              </w:rPr>
              <w:t>To develop capacity f</w:t>
            </w:r>
            <w:r w:rsidR="00782AA2" w:rsidRPr="00782AA2">
              <w:rPr>
                <w:rFonts w:ascii="Times New Roman" w:eastAsia="Times New Roman" w:hAnsi="Times New Roman" w:cs="Times New Roman"/>
                <w:sz w:val="20"/>
                <w:szCs w:val="16"/>
                <w:lang w:eastAsia="en-GB"/>
              </w:rPr>
              <w:t xml:space="preserve">or junior to midcareer professionals </w:t>
            </w:r>
            <w:r>
              <w:rPr>
                <w:rFonts w:ascii="Times New Roman" w:eastAsia="Times New Roman" w:hAnsi="Times New Roman" w:cs="Times New Roman"/>
                <w:sz w:val="20"/>
                <w:szCs w:val="16"/>
                <w:lang w:eastAsia="en-GB"/>
              </w:rPr>
              <w:t>in</w:t>
            </w:r>
            <w:r w:rsidR="00782AA2" w:rsidRPr="00782AA2">
              <w:rPr>
                <w:rFonts w:ascii="Times New Roman" w:eastAsia="Times New Roman" w:hAnsi="Times New Roman" w:cs="Times New Roman"/>
                <w:sz w:val="20"/>
                <w:szCs w:val="16"/>
                <w:lang w:eastAsia="en-GB"/>
              </w:rPr>
              <w:t xml:space="preserve"> their safety culture and safety leadership potential through simulated scenarios in nuclear and radiological working environments during normal and emergency situations, with their inherent complexities and often competing considerations. </w:t>
            </w:r>
          </w:p>
          <w:p w14:paraId="3504EDAD" w14:textId="7D6D8C59" w:rsidR="00E51560" w:rsidRPr="00D5543D" w:rsidRDefault="00782AA2" w:rsidP="00782AA2">
            <w:pPr>
              <w:rPr>
                <w:rFonts w:ascii="Times New Roman" w:eastAsia="Times New Roman" w:hAnsi="Times New Roman" w:cs="Times New Roman"/>
                <w:sz w:val="20"/>
                <w:szCs w:val="16"/>
                <w:lang w:eastAsia="en-GB"/>
              </w:rPr>
            </w:pPr>
            <w:r w:rsidRPr="00782AA2">
              <w:rPr>
                <w:rFonts w:ascii="Times New Roman" w:eastAsia="Times New Roman" w:hAnsi="Times New Roman" w:cs="Times New Roman"/>
                <w:sz w:val="20"/>
                <w:szCs w:val="16"/>
                <w:lang w:eastAsia="en-GB"/>
              </w:rPr>
              <w:t>The objective of the project is to develop and offer regional International School of Nuclear and Radiological Leadership for Safety in different regions during the period 2018-2021.</w:t>
            </w:r>
          </w:p>
        </w:tc>
      </w:tr>
      <w:tr w:rsidR="00E51560" w:rsidRPr="00C90BF1" w14:paraId="07FA655B" w14:textId="77777777" w:rsidTr="008001C4">
        <w:tc>
          <w:tcPr>
            <w:tcW w:w="4395" w:type="dxa"/>
          </w:tcPr>
          <w:p w14:paraId="4C2B4624" w14:textId="4992D624" w:rsidR="00E51560" w:rsidRPr="00C90BF1" w:rsidDel="00F62703" w:rsidRDefault="00424F88" w:rsidP="0033713B">
            <w:pPr>
              <w:jc w:val="both"/>
              <w:rPr>
                <w:rFonts w:ascii="Times New Roman" w:eastAsia="Times New Roman" w:hAnsi="Times New Roman" w:cs="Times New Roman"/>
                <w:sz w:val="20"/>
                <w:szCs w:val="16"/>
                <w:lang w:eastAsia="en-GB"/>
              </w:rPr>
            </w:pPr>
            <w:r>
              <w:rPr>
                <w:rFonts w:ascii="Times New Roman" w:eastAsia="Times New Roman" w:hAnsi="Times New Roman" w:cs="Times New Roman"/>
                <w:sz w:val="20"/>
                <w:szCs w:val="16"/>
                <w:lang w:eastAsia="en-GB"/>
              </w:rPr>
              <w:t>Sustaining the Establishment of Education and Training in Radiation Safety in Africa</w:t>
            </w:r>
          </w:p>
        </w:tc>
        <w:tc>
          <w:tcPr>
            <w:tcW w:w="5103" w:type="dxa"/>
          </w:tcPr>
          <w:p w14:paraId="33D831C7" w14:textId="45B84744" w:rsidR="00E51560" w:rsidRPr="00B83FCD" w:rsidDel="00F62703" w:rsidRDefault="00424F88" w:rsidP="008001C4">
            <w:pPr>
              <w:jc w:val="both"/>
              <w:rPr>
                <w:rFonts w:ascii="Times New Roman" w:eastAsia="Times New Roman" w:hAnsi="Times New Roman" w:cs="Times New Roman"/>
                <w:sz w:val="20"/>
                <w:szCs w:val="16"/>
                <w:lang w:eastAsia="en-GB"/>
              </w:rPr>
            </w:pPr>
            <w:r>
              <w:rPr>
                <w:rFonts w:ascii="Times New Roman" w:eastAsia="Times New Roman" w:hAnsi="Times New Roman" w:cs="Times New Roman"/>
                <w:sz w:val="20"/>
                <w:szCs w:val="16"/>
                <w:lang w:eastAsia="en-GB"/>
              </w:rPr>
              <w:t>To address the short-term and long-term needs of the African Member States with regards to the availability, sustainability and adequacy level of qualified personnel in radiation safety.</w:t>
            </w:r>
          </w:p>
        </w:tc>
      </w:tr>
      <w:tr w:rsidR="00F6062B" w14:paraId="512F8ABB" w14:textId="77777777" w:rsidTr="008001C4">
        <w:tc>
          <w:tcPr>
            <w:tcW w:w="4395" w:type="dxa"/>
          </w:tcPr>
          <w:p w14:paraId="50287E75" w14:textId="7E0E4308" w:rsidR="00F6062B" w:rsidRPr="005A27AD" w:rsidRDefault="00F6062B" w:rsidP="008001C4">
            <w:pPr>
              <w:jc w:val="both"/>
              <w:rPr>
                <w:rFonts w:ascii="Times New Roman" w:hAnsi="Times New Roman"/>
                <w:sz w:val="20"/>
                <w:szCs w:val="20"/>
                <w:highlight w:val="green"/>
              </w:rPr>
            </w:pPr>
            <w:r w:rsidRPr="003A04C7">
              <w:rPr>
                <w:rFonts w:ascii="Times New Roman" w:eastAsia="Times New Roman" w:hAnsi="Times New Roman" w:cs="Times New Roman"/>
                <w:sz w:val="20"/>
                <w:szCs w:val="16"/>
                <w:lang w:eastAsia="en-GB"/>
              </w:rPr>
              <w:t>Contribution to Solid Radioactive Waste Management at the Vinca Site</w:t>
            </w:r>
          </w:p>
        </w:tc>
        <w:tc>
          <w:tcPr>
            <w:tcW w:w="5103" w:type="dxa"/>
          </w:tcPr>
          <w:p w14:paraId="3C883A40" w14:textId="4D68DBCE" w:rsidR="00F6062B" w:rsidRPr="00A10640" w:rsidRDefault="00BA1D47" w:rsidP="00ED26EE">
            <w:pPr>
              <w:jc w:val="both"/>
              <w:rPr>
                <w:rFonts w:ascii="Times New Roman" w:eastAsia="Times New Roman" w:hAnsi="Times New Roman"/>
                <w:color w:val="030303"/>
                <w:sz w:val="20"/>
                <w:szCs w:val="20"/>
                <w:highlight w:val="yellow"/>
              </w:rPr>
            </w:pPr>
            <w:r>
              <w:rPr>
                <w:rFonts w:ascii="Times New Roman" w:eastAsia="Times New Roman" w:hAnsi="Times New Roman" w:cs="Times New Roman"/>
                <w:sz w:val="20"/>
                <w:szCs w:val="16"/>
                <w:lang w:eastAsia="en-GB"/>
              </w:rPr>
              <w:t>T</w:t>
            </w:r>
            <w:r w:rsidR="00ED26EE" w:rsidRPr="0032599E">
              <w:rPr>
                <w:rFonts w:ascii="Times New Roman" w:eastAsia="Times New Roman" w:hAnsi="Times New Roman" w:cs="Times New Roman"/>
                <w:sz w:val="20"/>
                <w:szCs w:val="16"/>
                <w:lang w:eastAsia="en-GB"/>
              </w:rPr>
              <w:t>o improve the control and management of sources of radiation at the Public Company Nuclear Facilities of Serbia located at the Vinca Institute of Nuclear Sciences, including (i) safe and secure processing and conditioning of radioactive wastes and disused sources; (ii) decommissioning of old solid waste storage facilities and underground liquid transuranic waste tanks; (iii) site-wide radiological characterization; and (iv) upgrading radiation protection and emergency response capabilities.</w:t>
            </w:r>
          </w:p>
        </w:tc>
      </w:tr>
      <w:tr w:rsidR="00E51560" w14:paraId="163693FD" w14:textId="77777777" w:rsidTr="008001C4">
        <w:tc>
          <w:tcPr>
            <w:tcW w:w="4395" w:type="dxa"/>
          </w:tcPr>
          <w:p w14:paraId="7D0297F5" w14:textId="02E37FF8" w:rsidR="00E51560" w:rsidRPr="00C04C8A" w:rsidDel="00F62703" w:rsidRDefault="00E51560" w:rsidP="008001C4">
            <w:pPr>
              <w:jc w:val="both"/>
              <w:rPr>
                <w:rFonts w:ascii="Times New Roman" w:eastAsia="Times New Roman" w:hAnsi="Times New Roman" w:cs="Times New Roman"/>
                <w:strike/>
                <w:sz w:val="20"/>
                <w:szCs w:val="16"/>
                <w:lang w:eastAsia="en-GB"/>
              </w:rPr>
            </w:pPr>
            <w:r w:rsidRPr="00B474A9">
              <w:rPr>
                <w:rFonts w:ascii="Times New Roman" w:eastAsia="Times New Roman" w:hAnsi="Times New Roman" w:cs="Times New Roman"/>
                <w:sz w:val="20"/>
                <w:szCs w:val="16"/>
                <w:lang w:eastAsia="en-GB"/>
              </w:rPr>
              <w:t>EC-IAEA Cooperation in the Field of Nuclear Safety and Waste Management (ARTEMIS)</w:t>
            </w:r>
          </w:p>
        </w:tc>
        <w:tc>
          <w:tcPr>
            <w:tcW w:w="5103" w:type="dxa"/>
          </w:tcPr>
          <w:p w14:paraId="678C8E28" w14:textId="173B3BDE" w:rsidR="00E51560" w:rsidRPr="00B474A9" w:rsidDel="00F62703" w:rsidRDefault="00E51560" w:rsidP="008001C4">
            <w:pPr>
              <w:jc w:val="both"/>
              <w:rPr>
                <w:rFonts w:ascii="Times New Roman" w:eastAsia="Times New Roman" w:hAnsi="Times New Roman" w:cs="Times New Roman"/>
                <w:sz w:val="20"/>
                <w:szCs w:val="16"/>
                <w:lang w:eastAsia="en-GB"/>
              </w:rPr>
            </w:pPr>
            <w:r w:rsidRPr="00B474A9">
              <w:rPr>
                <w:rFonts w:ascii="Times New Roman" w:eastAsia="Times New Roman" w:hAnsi="Times New Roman"/>
                <w:color w:val="030303"/>
                <w:sz w:val="20"/>
                <w:szCs w:val="20"/>
              </w:rPr>
              <w:t>To provide additional resources to the Organization to implement ARTEMIS peer review activities in EU Member States under the Waste Directive hence facilitating Member States compliance with their obligations under Article 14.3 of the Waste Directive (</w:t>
            </w:r>
            <w:r w:rsidRPr="00B474A9">
              <w:rPr>
                <w:rFonts w:ascii="Times New Roman" w:eastAsia="Times New Roman" w:hAnsi="Times New Roman"/>
                <w:color w:val="010101"/>
                <w:sz w:val="20"/>
                <w:szCs w:val="20"/>
              </w:rPr>
              <w:t>Council Directive 2011/70/Euratom</w:t>
            </w:r>
            <w:r w:rsidRPr="00B474A9">
              <w:rPr>
                <w:rFonts w:ascii="Times New Roman" w:eastAsia="Times New Roman" w:hAnsi="Times New Roman"/>
                <w:color w:val="030303"/>
                <w:sz w:val="20"/>
                <w:szCs w:val="20"/>
              </w:rPr>
              <w:t>). The objective is to strengthen appropriate national arrangements to ensure responsible and safe management of spent fuel and radioactive waste.</w:t>
            </w:r>
          </w:p>
        </w:tc>
      </w:tr>
    </w:tbl>
    <w:p w14:paraId="02E719FE" w14:textId="77777777" w:rsidR="00E84CFB" w:rsidRDefault="00E84CFB" w:rsidP="00E84CFB">
      <w:pPr>
        <w:pStyle w:val="Default"/>
      </w:pPr>
    </w:p>
    <w:p w14:paraId="76DCCD0F" w14:textId="77777777" w:rsidR="006125B2" w:rsidRDefault="006125B2">
      <w:pPr>
        <w:pStyle w:val="BodyText"/>
      </w:pPr>
    </w:p>
    <w:sectPr w:rsidR="006125B2">
      <w:headerReference w:type="even" r:id="rId7"/>
      <w:headerReference w:type="default" r:id="rId8"/>
      <w:footerReference w:type="default" r:id="rId9"/>
      <w:headerReference w:type="first" r:id="rId10"/>
      <w:footerReference w:type="first" r:id="rId11"/>
      <w:type w:val="oddPage"/>
      <w:pgSz w:w="11907" w:h="16840" w:code="9"/>
      <w:pgMar w:top="1531" w:right="1418" w:bottom="1134" w:left="1418" w:header="539" w:footer="9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6AD3E" w14:textId="77777777" w:rsidR="00F862DE" w:rsidRDefault="00F862DE">
      <w:r>
        <w:separator/>
      </w:r>
    </w:p>
  </w:endnote>
  <w:endnote w:type="continuationSeparator" w:id="0">
    <w:p w14:paraId="1C504F4D" w14:textId="77777777" w:rsidR="00F862DE" w:rsidRDefault="00F8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6AA65" w14:textId="77777777" w:rsidR="00DE5F71" w:rsidRDefault="00DE5F71">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DE5F71" w14:paraId="2ABC7AC0" w14:textId="77777777">
      <w:trPr>
        <w:cantSplit/>
      </w:trPr>
      <w:tc>
        <w:tcPr>
          <w:tcW w:w="4644" w:type="dxa"/>
        </w:tcPr>
        <w:p w14:paraId="30E02DBD" w14:textId="77777777" w:rsidR="00DE5F71" w:rsidRDefault="006125B2">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234786DA" w14:textId="77777777" w:rsidR="00DE5F71" w:rsidRDefault="006125B2">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0A0D0ED9" w14:textId="77777777" w:rsidR="00DE5F71" w:rsidRDefault="006125B2">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31FF5068" w14:textId="77777777" w:rsidR="00DE5F71" w:rsidRDefault="006125B2">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p w14:paraId="1BBDF0D8" w14:textId="77777777" w:rsidR="00DE5F71" w:rsidRDefault="00DE5F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68C72" w14:textId="77777777" w:rsidR="00F862DE" w:rsidRDefault="00F862DE">
      <w:r>
        <w:t>___________________________________________________________________________</w:t>
      </w:r>
    </w:p>
  </w:footnote>
  <w:footnote w:type="continuationSeparator" w:id="0">
    <w:p w14:paraId="4DB007D1" w14:textId="77777777" w:rsidR="00F862DE" w:rsidRDefault="00F862DE">
      <w:r>
        <w:t>___________________________________________________________________________</w:t>
      </w:r>
    </w:p>
  </w:footnote>
  <w:footnote w:type="continuationNotice" w:id="1">
    <w:p w14:paraId="3984A602" w14:textId="77777777" w:rsidR="00F862DE" w:rsidRDefault="00F862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20A47" w14:textId="77777777" w:rsidR="00DE5F71" w:rsidRDefault="006125B2">
    <w:r>
      <w:br/>
      <w:t xml:space="preserve">Page </w:t>
    </w:r>
    <w:r>
      <w:fldChar w:fldCharType="begin"/>
    </w:r>
    <w:r>
      <w:instrText xml:space="preserve"> PAGE </w:instrText>
    </w:r>
    <w:r>
      <w:fldChar w:fldCharType="separate"/>
    </w:r>
    <w:r w:rsidR="00B6005B">
      <w:rPr>
        <w:noProof/>
      </w:rPr>
      <w:t>2</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723DD" w14:textId="77777777" w:rsidR="00DE5F71" w:rsidRDefault="00DE5F71">
    <w:pPr>
      <w:rPr>
        <w:sz w:val="2"/>
      </w:rPr>
    </w:pPr>
  </w:p>
  <w:p w14:paraId="146798A6" w14:textId="77777777" w:rsidR="00DE5F71" w:rsidRDefault="006125B2">
    <w:pPr>
      <w:jc w:val="right"/>
    </w:pPr>
    <w:r>
      <w:br/>
      <w:t xml:space="preserve">Page </w:t>
    </w:r>
    <w:r>
      <w:fldChar w:fldCharType="begin"/>
    </w:r>
    <w:r>
      <w:instrText xml:space="preserve"> PAGE </w:instrText>
    </w:r>
    <w:r>
      <w:fldChar w:fldCharType="separate"/>
    </w:r>
    <w:r w:rsidR="002A6583">
      <w:rPr>
        <w:noProof/>
      </w:rPr>
      <w:t>2</w:t>
    </w:r>
    <w:r>
      <w:fldChar w:fldCharType="end"/>
    </w:r>
    <w:r>
      <w:br/>
    </w:r>
  </w:p>
  <w:p w14:paraId="6557D718" w14:textId="77777777" w:rsidR="00DE5F71" w:rsidRDefault="00DE5F71">
    <w:pPr>
      <w:jc w:val="righ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DE5F71" w14:paraId="2D8638AE" w14:textId="77777777">
      <w:trPr>
        <w:cantSplit/>
        <w:trHeight w:val="716"/>
      </w:trPr>
      <w:tc>
        <w:tcPr>
          <w:tcW w:w="979" w:type="dxa"/>
          <w:vMerge w:val="restart"/>
        </w:tcPr>
        <w:p w14:paraId="35DE2DB3" w14:textId="77777777" w:rsidR="00DE5F71" w:rsidRDefault="00DE5F71">
          <w:pPr>
            <w:spacing w:before="180"/>
            <w:ind w:left="17"/>
          </w:pPr>
        </w:p>
      </w:tc>
      <w:tc>
        <w:tcPr>
          <w:tcW w:w="3638" w:type="dxa"/>
          <w:vAlign w:val="bottom"/>
        </w:tcPr>
        <w:p w14:paraId="278BF409" w14:textId="77777777" w:rsidR="00DE5F71" w:rsidRDefault="00DE5F71">
          <w:pPr>
            <w:spacing w:after="20"/>
          </w:pPr>
        </w:p>
      </w:tc>
      <w:bookmarkStart w:id="0" w:name="DOC_bkmClassification1"/>
      <w:tc>
        <w:tcPr>
          <w:tcW w:w="5702" w:type="dxa"/>
          <w:vMerge w:val="restart"/>
          <w:tcMar>
            <w:right w:w="193" w:type="dxa"/>
          </w:tcMar>
        </w:tcPr>
        <w:p w14:paraId="3F1DC61A" w14:textId="77777777" w:rsidR="00DE5F71" w:rsidRDefault="006125B2">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74459C33" w14:textId="77777777" w:rsidR="00DE5F71" w:rsidRDefault="006125B2">
          <w:pPr>
            <w:pStyle w:val="zyxConfid2Red"/>
          </w:pPr>
          <w:r>
            <w:fldChar w:fldCharType="begin"/>
          </w:r>
          <w:r>
            <w:instrText>DOCPROPERTY "IaeaClassification2"  \* MERGEFORMAT</w:instrText>
          </w:r>
          <w:r>
            <w:fldChar w:fldCharType="end"/>
          </w:r>
        </w:p>
      </w:tc>
    </w:tr>
    <w:tr w:rsidR="00DE5F71" w14:paraId="09420754" w14:textId="77777777">
      <w:trPr>
        <w:cantSplit/>
        <w:trHeight w:val="167"/>
      </w:trPr>
      <w:tc>
        <w:tcPr>
          <w:tcW w:w="979" w:type="dxa"/>
          <w:vMerge/>
        </w:tcPr>
        <w:p w14:paraId="11393146" w14:textId="77777777" w:rsidR="00DE5F71" w:rsidRDefault="00DE5F71">
          <w:pPr>
            <w:spacing w:before="57"/>
          </w:pPr>
        </w:p>
      </w:tc>
      <w:tc>
        <w:tcPr>
          <w:tcW w:w="3638" w:type="dxa"/>
          <w:vAlign w:val="bottom"/>
        </w:tcPr>
        <w:p w14:paraId="5A23F789" w14:textId="77777777" w:rsidR="00DE5F71" w:rsidRDefault="00DE5F71">
          <w:pPr>
            <w:pStyle w:val="Heading9"/>
            <w:spacing w:before="0" w:after="10"/>
          </w:pPr>
        </w:p>
      </w:tc>
      <w:tc>
        <w:tcPr>
          <w:tcW w:w="5702" w:type="dxa"/>
          <w:vMerge/>
          <w:vAlign w:val="bottom"/>
        </w:tcPr>
        <w:p w14:paraId="30DC29F2" w14:textId="77777777" w:rsidR="00DE5F71" w:rsidRDefault="00DE5F71">
          <w:pPr>
            <w:pStyle w:val="Heading9"/>
            <w:spacing w:before="0" w:after="10"/>
          </w:pPr>
        </w:p>
      </w:tc>
    </w:tr>
  </w:tbl>
  <w:p w14:paraId="451FCFE5" w14:textId="77777777" w:rsidR="00DE5F71" w:rsidRDefault="00DE5F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41627C"/>
    <w:multiLevelType w:val="hybridMultilevel"/>
    <w:tmpl w:val="0D1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4" w15:restartNumberingAfterBreak="0">
    <w:nsid w:val="3CB22A48"/>
    <w:multiLevelType w:val="hybridMultilevel"/>
    <w:tmpl w:val="B276E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6"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8"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FA65F3D"/>
    <w:multiLevelType w:val="hybridMultilevel"/>
    <w:tmpl w:val="DAF0B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7"/>
  </w:num>
  <w:num w:numId="4">
    <w:abstractNumId w:val="7"/>
  </w:num>
  <w:num w:numId="5">
    <w:abstractNumId w:val="7"/>
  </w:num>
  <w:num w:numId="6">
    <w:abstractNumId w:val="3"/>
  </w:num>
  <w:num w:numId="7">
    <w:abstractNumId w:val="6"/>
  </w:num>
  <w:num w:numId="8">
    <w:abstractNumId w:val="8"/>
  </w:num>
  <w:num w:numId="9">
    <w:abstractNumId w:val="0"/>
  </w:num>
  <w:num w:numId="10">
    <w:abstractNumId w:val="9"/>
  </w:num>
  <w:num w:numId="11">
    <w:abstractNumId w:val="4"/>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E84CFB"/>
    <w:rsid w:val="00081960"/>
    <w:rsid w:val="000F78D1"/>
    <w:rsid w:val="001743CB"/>
    <w:rsid w:val="00181CB9"/>
    <w:rsid w:val="001836AA"/>
    <w:rsid w:val="00274FDA"/>
    <w:rsid w:val="00285696"/>
    <w:rsid w:val="00295C5F"/>
    <w:rsid w:val="002A6583"/>
    <w:rsid w:val="002F432C"/>
    <w:rsid w:val="0032599E"/>
    <w:rsid w:val="0033713B"/>
    <w:rsid w:val="00371EF2"/>
    <w:rsid w:val="003A04C7"/>
    <w:rsid w:val="00424F88"/>
    <w:rsid w:val="00485568"/>
    <w:rsid w:val="004D45EA"/>
    <w:rsid w:val="0051657E"/>
    <w:rsid w:val="005168D8"/>
    <w:rsid w:val="00532293"/>
    <w:rsid w:val="005363A8"/>
    <w:rsid w:val="00590E04"/>
    <w:rsid w:val="00593E6D"/>
    <w:rsid w:val="005A27AD"/>
    <w:rsid w:val="005C2CFA"/>
    <w:rsid w:val="005C7CDB"/>
    <w:rsid w:val="005E0078"/>
    <w:rsid w:val="006125B2"/>
    <w:rsid w:val="006606B1"/>
    <w:rsid w:val="00694ABA"/>
    <w:rsid w:val="006A276D"/>
    <w:rsid w:val="007276ED"/>
    <w:rsid w:val="007419A3"/>
    <w:rsid w:val="00782AA2"/>
    <w:rsid w:val="008001C4"/>
    <w:rsid w:val="0081685D"/>
    <w:rsid w:val="0083203E"/>
    <w:rsid w:val="008402EE"/>
    <w:rsid w:val="008B0732"/>
    <w:rsid w:val="00940DEF"/>
    <w:rsid w:val="009517A9"/>
    <w:rsid w:val="009714BB"/>
    <w:rsid w:val="009B7FB1"/>
    <w:rsid w:val="00A0297A"/>
    <w:rsid w:val="00A10640"/>
    <w:rsid w:val="00A74A06"/>
    <w:rsid w:val="00A837B5"/>
    <w:rsid w:val="00AD0067"/>
    <w:rsid w:val="00AE501B"/>
    <w:rsid w:val="00AE62C9"/>
    <w:rsid w:val="00AF6A6C"/>
    <w:rsid w:val="00B42051"/>
    <w:rsid w:val="00B474A9"/>
    <w:rsid w:val="00B6005B"/>
    <w:rsid w:val="00B744F0"/>
    <w:rsid w:val="00B80D4F"/>
    <w:rsid w:val="00BA1D47"/>
    <w:rsid w:val="00BC3B3E"/>
    <w:rsid w:val="00C04C8A"/>
    <w:rsid w:val="00C90BF1"/>
    <w:rsid w:val="00CE5510"/>
    <w:rsid w:val="00D3451E"/>
    <w:rsid w:val="00D42949"/>
    <w:rsid w:val="00D91782"/>
    <w:rsid w:val="00DE5F71"/>
    <w:rsid w:val="00E10F04"/>
    <w:rsid w:val="00E51560"/>
    <w:rsid w:val="00E84CFB"/>
    <w:rsid w:val="00EB1177"/>
    <w:rsid w:val="00ED26EE"/>
    <w:rsid w:val="00ED7962"/>
    <w:rsid w:val="00F53A23"/>
    <w:rsid w:val="00F57422"/>
    <w:rsid w:val="00F6062B"/>
    <w:rsid w:val="00F62703"/>
    <w:rsid w:val="00F862DE"/>
    <w:rsid w:val="00FD0D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1E24A"/>
  <w15:docId w15:val="{A12A29C3-C230-416F-8B21-8DDCF186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CFB"/>
    <w:pPr>
      <w:spacing w:after="200" w:line="276" w:lineRule="auto"/>
    </w:pPr>
    <w:rPr>
      <w:rFonts w:asciiTheme="minorHAnsi" w:eastAsiaTheme="minorHAnsi" w:hAnsiTheme="minorHAnsi" w:cstheme="minorBidi"/>
      <w:sz w:val="22"/>
      <w:szCs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overflowPunct w:val="0"/>
      <w:autoSpaceDE w:val="0"/>
      <w:autoSpaceDN w:val="0"/>
      <w:adjustRightInd w:val="0"/>
      <w:spacing w:after="0" w:line="280" w:lineRule="exact"/>
      <w:textAlignment w:val="baseline"/>
      <w:outlineLvl w:val="3"/>
    </w:pPr>
    <w:rPr>
      <w:rFonts w:ascii="Times New Roman" w:eastAsia="Times New Roman" w:hAnsi="Times New Roman" w:cs="Times New Roman"/>
      <w:b/>
      <w:sz w:val="24"/>
      <w:szCs w:val="20"/>
      <w:lang w:val="en-US"/>
    </w:rPr>
  </w:style>
  <w:style w:type="paragraph" w:styleId="Heading5">
    <w:name w:val="heading 5"/>
    <w:basedOn w:val="Normal"/>
    <w:next w:val="Normal"/>
    <w:qFormat/>
    <w:p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qFormat/>
    <w:p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qFormat/>
    <w:pPr>
      <w:spacing w:before="240" w:after="60" w:line="240" w:lineRule="auto"/>
      <w:outlineLvl w:val="6"/>
    </w:pPr>
    <w:rPr>
      <w:rFonts w:ascii="Times New Roman" w:eastAsia="Times New Roman" w:hAnsi="Times New Roman" w:cs="Times New Roman"/>
      <w:szCs w:val="24"/>
      <w:lang w:val="en-US"/>
    </w:rPr>
  </w:style>
  <w:style w:type="paragraph" w:styleId="Heading8">
    <w:name w:val="heading 8"/>
    <w:basedOn w:val="Normal"/>
    <w:next w:val="Normal"/>
    <w:qFormat/>
    <w:pPr>
      <w:spacing w:before="240" w:after="60" w:line="240" w:lineRule="auto"/>
      <w:outlineLvl w:val="7"/>
    </w:pPr>
    <w:rPr>
      <w:rFonts w:ascii="Times New Roman" w:eastAsia="Times New Roman" w:hAnsi="Times New Roman" w:cs="Times New Roman"/>
      <w:i/>
      <w:iCs/>
      <w:szCs w:val="24"/>
      <w:lang w:val="en-US"/>
    </w:rPr>
  </w:style>
  <w:style w:type="paragraph" w:styleId="Heading9">
    <w:name w:val="heading 9"/>
    <w:basedOn w:val="Normal"/>
    <w:next w:val="Normal"/>
    <w:qFormat/>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spacing w:after="0" w:line="240" w:lineRule="auto"/>
    </w:pPr>
    <w:rPr>
      <w:rFonts w:ascii="Times New Roman" w:eastAsia="Times New Roman" w:hAnsi="Times New Roman" w:cs="Times New Roman"/>
      <w:sz w:val="2"/>
      <w:szCs w:val="20"/>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overflowPunct w:val="0"/>
      <w:autoSpaceDE w:val="0"/>
      <w:autoSpaceDN w:val="0"/>
      <w:adjustRightInd w:val="0"/>
      <w:spacing w:after="20" w:line="220" w:lineRule="exact"/>
      <w:jc w:val="right"/>
      <w:textAlignment w:val="baseline"/>
    </w:pPr>
    <w:rPr>
      <w:rFonts w:ascii="Arial" w:eastAsia="Times New Roman" w:hAnsi="Arial" w:cs="Arial"/>
      <w:color w:val="FF0000"/>
      <w:szCs w:val="2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spacing w:before="240" w:after="20" w:line="240" w:lineRule="auto"/>
      <w:ind w:left="142"/>
      <w:suppressOverlap/>
    </w:pPr>
    <w:rPr>
      <w:rFonts w:ascii="Arial" w:eastAsia="Times New Roman" w:hAnsi="Arial" w:cs="Times New Roman"/>
      <w:b/>
      <w:szCs w:val="20"/>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overflowPunct w:val="0"/>
      <w:autoSpaceDE w:val="0"/>
      <w:autoSpaceDN w:val="0"/>
      <w:adjustRightInd w:val="0"/>
      <w:spacing w:after="10" w:line="240" w:lineRule="auto"/>
      <w:textAlignment w:val="baseline"/>
    </w:pPr>
    <w:rPr>
      <w:rFonts w:ascii="Arial" w:eastAsia="Times New Roman" w:hAnsi="Arial" w:cs="Times New Roman"/>
      <w:b/>
      <w:sz w:val="13"/>
      <w:szCs w:val="20"/>
    </w:rPr>
  </w:style>
  <w:style w:type="paragraph" w:customStyle="1" w:styleId="zyxP1Footer">
    <w:name w:val="zyxP1_Footer"/>
    <w:basedOn w:val="Normal"/>
    <w:pPr>
      <w:widowControl w:val="0"/>
      <w:overflowPunct w:val="0"/>
      <w:autoSpaceDE w:val="0"/>
      <w:autoSpaceDN w:val="0"/>
      <w:adjustRightInd w:val="0"/>
      <w:spacing w:after="0" w:line="160" w:lineRule="exact"/>
      <w:ind w:left="108"/>
      <w:textAlignment w:val="baseline"/>
    </w:pPr>
    <w:rPr>
      <w:rFonts w:ascii="Times New Roman" w:eastAsia="Times New Roman" w:hAnsi="Times New Roman" w:cs="Times New Roman"/>
      <w:sz w:val="14"/>
      <w:szCs w:val="20"/>
    </w:rPr>
  </w:style>
  <w:style w:type="paragraph" w:customStyle="1" w:styleId="zyxSensitivity">
    <w:name w:val="zyxSensitivity"/>
    <w:basedOn w:val="Normal"/>
    <w:pPr>
      <w:framePr w:wrap="around" w:vAnchor="page" w:hAnchor="page" w:x="1390" w:y="15707"/>
      <w:widowControl w:val="0"/>
      <w:spacing w:after="0" w:line="220" w:lineRule="exact"/>
      <w:ind w:left="142"/>
      <w:suppressOverlap/>
    </w:pPr>
    <w:rPr>
      <w:rFonts w:ascii="Arial" w:eastAsia="Times New Roman" w:hAnsi="Arial" w:cs="Times New Roman"/>
      <w:b/>
      <w:szCs w:val="20"/>
    </w:rPr>
  </w:style>
  <w:style w:type="paragraph" w:customStyle="1" w:styleId="zyxTitle">
    <w:name w:val="zyxTitle"/>
    <w:basedOn w:val="Normal"/>
    <w:pPr>
      <w:keepNext/>
      <w:overflowPunct w:val="0"/>
      <w:autoSpaceDE w:val="0"/>
      <w:autoSpaceDN w:val="0"/>
      <w:adjustRightInd w:val="0"/>
      <w:spacing w:after="0" w:line="420" w:lineRule="exact"/>
      <w:textAlignment w:val="baseline"/>
    </w:pPr>
    <w:rPr>
      <w:rFonts w:ascii="Arial" w:eastAsia="Times New Roman" w:hAnsi="Arial" w:cs="Times New Roman"/>
      <w:sz w:val="40"/>
      <w:szCs w:val="2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Default">
    <w:name w:val="Default"/>
    <w:rsid w:val="00E84CFB"/>
    <w:pPr>
      <w:autoSpaceDE w:val="0"/>
      <w:autoSpaceDN w:val="0"/>
      <w:adjustRightInd w:val="0"/>
    </w:pPr>
    <w:rPr>
      <w:color w:val="000000"/>
      <w:sz w:val="24"/>
      <w:szCs w:val="24"/>
    </w:rPr>
  </w:style>
  <w:style w:type="table" w:styleId="TableGrid">
    <w:name w:val="Table Grid"/>
    <w:basedOn w:val="TableNormal"/>
    <w:uiPriority w:val="59"/>
    <w:rsid w:val="00E84C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76D"/>
    <w:pPr>
      <w:ind w:left="720"/>
      <w:contextualSpacing/>
    </w:pPr>
  </w:style>
  <w:style w:type="paragraph" w:styleId="BalloonText">
    <w:name w:val="Balloon Text"/>
    <w:basedOn w:val="Normal"/>
    <w:link w:val="BalloonTextChar"/>
    <w:uiPriority w:val="99"/>
    <w:semiHidden/>
    <w:unhideWhenUsed/>
    <w:rsid w:val="00F62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03"/>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(r01).dotx</Template>
  <TotalTime>2</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CALIXTE FIELHAUER, Kettly</dc:creator>
  <cp:lastModifiedBy>CALIXTE FIELHAUER, Kettly</cp:lastModifiedBy>
  <cp:revision>2</cp:revision>
  <cp:lastPrinted>2017-12-06T10:20:00Z</cp:lastPrinted>
  <dcterms:created xsi:type="dcterms:W3CDTF">2021-06-30T09:10:00Z</dcterms:created>
  <dcterms:modified xsi:type="dcterms:W3CDTF">2021-06-30T09:10:00Z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